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246C" w14:textId="42C8C69C" w:rsidR="00136BDD" w:rsidRPr="0068757A" w:rsidRDefault="00136BDD" w:rsidP="00136BDD">
      <w:pPr>
        <w:pStyle w:val="Header"/>
        <w:jc w:val="center"/>
        <w:rPr>
          <w:rFonts w:ascii="Arial" w:hAnsi="Arial" w:cs="Arial"/>
          <w:b/>
          <w:szCs w:val="24"/>
        </w:rPr>
      </w:pPr>
      <w:r w:rsidRPr="0068757A">
        <w:rPr>
          <w:rFonts w:ascii="Arial" w:hAnsi="Arial" w:cs="Arial"/>
          <w:b/>
          <w:szCs w:val="24"/>
        </w:rPr>
        <w:t>A</w:t>
      </w:r>
      <w:r w:rsidR="00D76AFA" w:rsidRPr="0068757A">
        <w:rPr>
          <w:rFonts w:ascii="Arial" w:hAnsi="Arial" w:cs="Arial"/>
          <w:b/>
          <w:szCs w:val="24"/>
        </w:rPr>
        <w:t>ttachment</w:t>
      </w:r>
      <w:r w:rsidRPr="0068757A">
        <w:rPr>
          <w:rFonts w:ascii="Arial" w:hAnsi="Arial" w:cs="Arial"/>
          <w:b/>
          <w:szCs w:val="24"/>
        </w:rPr>
        <w:t xml:space="preserve"> </w:t>
      </w:r>
      <w:r w:rsidR="00780EB6" w:rsidRPr="0068757A">
        <w:rPr>
          <w:rFonts w:ascii="Arial" w:hAnsi="Arial" w:cs="Arial"/>
          <w:b/>
          <w:szCs w:val="24"/>
        </w:rPr>
        <w:t>6</w:t>
      </w:r>
      <w:r w:rsidRPr="0068757A">
        <w:rPr>
          <w:rFonts w:ascii="Arial" w:hAnsi="Arial" w:cs="Arial"/>
          <w:b/>
          <w:szCs w:val="24"/>
        </w:rPr>
        <w:t xml:space="preserve"> –</w:t>
      </w:r>
      <w:r w:rsidR="00D76AFA" w:rsidRPr="0068757A">
        <w:rPr>
          <w:rFonts w:ascii="Arial" w:hAnsi="Arial" w:cs="Arial"/>
          <w:b/>
          <w:szCs w:val="24"/>
        </w:rPr>
        <w:t>Work Plan</w:t>
      </w:r>
    </w:p>
    <w:p w14:paraId="32E7FC1B" w14:textId="77777777" w:rsidR="00136BDD" w:rsidRPr="0068757A" w:rsidRDefault="00136BDD" w:rsidP="00136BDD">
      <w:pPr>
        <w:jc w:val="center"/>
        <w:rPr>
          <w:rFonts w:ascii="Arial" w:hAnsi="Arial" w:cs="Arial"/>
          <w:b/>
          <w:i/>
          <w:szCs w:val="24"/>
        </w:rPr>
      </w:pPr>
      <w:r w:rsidRPr="0068757A">
        <w:rPr>
          <w:rFonts w:ascii="Arial" w:hAnsi="Arial" w:cs="Arial"/>
          <w:b/>
          <w:i/>
          <w:szCs w:val="24"/>
        </w:rPr>
        <w:t>SUMMARY</w:t>
      </w:r>
    </w:p>
    <w:p w14:paraId="54919D3E" w14:textId="77777777" w:rsidR="0068757A" w:rsidRDefault="0068757A" w:rsidP="00136BDD">
      <w:pPr>
        <w:jc w:val="center"/>
        <w:rPr>
          <w:rFonts w:ascii="Arial" w:hAnsi="Arial" w:cs="Arial"/>
          <w:b/>
          <w:i/>
          <w:sz w:val="22"/>
          <w:szCs w:val="22"/>
        </w:rPr>
      </w:pPr>
    </w:p>
    <w:p w14:paraId="4986AEBF" w14:textId="72EF5607" w:rsidR="0068757A" w:rsidRDefault="0068757A" w:rsidP="00136BDD">
      <w:pPr>
        <w:jc w:val="center"/>
        <w:rPr>
          <w:rFonts w:ascii="Arial" w:hAnsi="Arial" w:cs="Arial"/>
          <w:b/>
          <w:iCs/>
          <w:sz w:val="22"/>
          <w:szCs w:val="22"/>
        </w:rPr>
      </w:pPr>
      <w:r w:rsidRPr="0068757A">
        <w:rPr>
          <w:rFonts w:ascii="Arial" w:hAnsi="Arial" w:cs="Arial"/>
          <w:b/>
          <w:iCs/>
          <w:sz w:val="22"/>
          <w:szCs w:val="22"/>
        </w:rPr>
        <w:t>RFA #20559</w:t>
      </w:r>
    </w:p>
    <w:p w14:paraId="3A2B6EB0" w14:textId="77777777" w:rsidR="00926B4E" w:rsidRPr="00615136" w:rsidRDefault="00926B4E" w:rsidP="00926B4E">
      <w:pPr>
        <w:jc w:val="center"/>
        <w:rPr>
          <w:rFonts w:ascii="Arial" w:hAnsi="Arial" w:cs="Arial"/>
          <w:b/>
          <w:sz w:val="22"/>
          <w:szCs w:val="22"/>
        </w:rPr>
      </w:pPr>
      <w:r w:rsidRPr="00615136">
        <w:rPr>
          <w:rFonts w:ascii="Arial" w:hAnsi="Arial" w:cs="Arial"/>
          <w:b/>
          <w:bCs/>
          <w:sz w:val="22"/>
          <w:szCs w:val="22"/>
        </w:rPr>
        <w:t>Internal RFA #23-0012</w:t>
      </w:r>
    </w:p>
    <w:p w14:paraId="1BD6BCC7" w14:textId="77777777" w:rsidR="0068757A" w:rsidRPr="0068757A" w:rsidRDefault="0068757A" w:rsidP="00136BDD">
      <w:pPr>
        <w:jc w:val="center"/>
        <w:rPr>
          <w:rFonts w:ascii="Arial" w:hAnsi="Arial" w:cs="Arial"/>
          <w:b/>
          <w:iCs/>
          <w:sz w:val="22"/>
          <w:szCs w:val="22"/>
        </w:rPr>
      </w:pPr>
    </w:p>
    <w:p w14:paraId="08BF6C7B" w14:textId="28A9007E" w:rsidR="00136BDD" w:rsidRPr="00903EBE" w:rsidRDefault="00136BDD" w:rsidP="00136BDD">
      <w:pPr>
        <w:rPr>
          <w:rFonts w:ascii="Arial" w:hAnsi="Arial" w:cs="Arial"/>
          <w:sz w:val="22"/>
          <w:szCs w:val="22"/>
          <w:u w:val="single"/>
        </w:rPr>
      </w:pPr>
      <w:r w:rsidRPr="00903EBE">
        <w:rPr>
          <w:rFonts w:ascii="Arial" w:hAnsi="Arial" w:cs="Arial"/>
          <w:sz w:val="22"/>
          <w:szCs w:val="22"/>
        </w:rPr>
        <w:t>PROJECT NAME:</w:t>
      </w:r>
      <w:r w:rsidRPr="00903EBE">
        <w:rPr>
          <w:rFonts w:ascii="Arial" w:hAnsi="Arial" w:cs="Arial"/>
          <w:sz w:val="22"/>
          <w:szCs w:val="22"/>
        </w:rPr>
        <w:tab/>
      </w:r>
      <w:r w:rsidR="004270ED" w:rsidRPr="004270ED">
        <w:rPr>
          <w:rFonts w:ascii="Arial" w:hAnsi="Arial" w:cs="Arial"/>
          <w:sz w:val="22"/>
          <w:szCs w:val="22"/>
        </w:rPr>
        <w:t>Advancing Health Equity through Comprehensive Community-Based HIV Ambulatory Care Services – Centers for Young Adults - Reissue</w:t>
      </w:r>
    </w:p>
    <w:p w14:paraId="32B167E7" w14:textId="77777777" w:rsidR="00136BDD" w:rsidRPr="00903EBE" w:rsidRDefault="00136BDD" w:rsidP="00136BDD">
      <w:pPr>
        <w:rPr>
          <w:rFonts w:ascii="Arial" w:hAnsi="Arial" w:cs="Arial"/>
          <w:sz w:val="22"/>
          <w:szCs w:val="22"/>
        </w:rPr>
      </w:pPr>
    </w:p>
    <w:p w14:paraId="5AEBCBC1" w14:textId="77777777" w:rsidR="00136BDD" w:rsidRPr="00903EBE" w:rsidRDefault="00136BDD" w:rsidP="00136BDD">
      <w:pPr>
        <w:rPr>
          <w:rFonts w:ascii="Arial" w:hAnsi="Arial" w:cs="Arial"/>
          <w:sz w:val="22"/>
          <w:szCs w:val="22"/>
        </w:rPr>
      </w:pPr>
      <w:r w:rsidRPr="00903EBE">
        <w:rPr>
          <w:rFonts w:ascii="Arial" w:hAnsi="Arial" w:cs="Arial"/>
          <w:sz w:val="22"/>
          <w:szCs w:val="22"/>
        </w:rPr>
        <w:t>CONTRACTOR SFS PAYEE NAME:</w:t>
      </w:r>
      <w:r w:rsidRPr="00903EBE">
        <w:rPr>
          <w:rFonts w:ascii="Arial" w:hAnsi="Arial" w:cs="Arial"/>
          <w:sz w:val="22"/>
          <w:szCs w:val="22"/>
        </w:rPr>
        <w:tab/>
      </w:r>
    </w:p>
    <w:p w14:paraId="22F485DB" w14:textId="77777777" w:rsidR="00136BDD" w:rsidRPr="00903EBE" w:rsidRDefault="00136BDD" w:rsidP="00136BDD">
      <w:pPr>
        <w:rPr>
          <w:rFonts w:ascii="Arial" w:hAnsi="Arial" w:cs="Arial"/>
          <w:sz w:val="22"/>
          <w:szCs w:val="22"/>
        </w:rPr>
      </w:pPr>
    </w:p>
    <w:p w14:paraId="19BFD4C3" w14:textId="35C5A17C" w:rsidR="00136BDD" w:rsidRPr="00903EBE" w:rsidRDefault="00136BDD" w:rsidP="00136BDD">
      <w:pPr>
        <w:rPr>
          <w:rFonts w:ascii="Arial" w:hAnsi="Arial" w:cs="Arial"/>
          <w:sz w:val="22"/>
          <w:szCs w:val="22"/>
        </w:rPr>
      </w:pPr>
      <w:r w:rsidRPr="00903EBE">
        <w:rPr>
          <w:rFonts w:ascii="Arial" w:hAnsi="Arial" w:cs="Arial"/>
          <w:sz w:val="22"/>
          <w:szCs w:val="22"/>
        </w:rPr>
        <w:t>CONTRACT PERIOD:</w:t>
      </w:r>
      <w:r w:rsidRPr="00903EBE">
        <w:rPr>
          <w:rFonts w:ascii="Arial" w:hAnsi="Arial" w:cs="Arial"/>
          <w:sz w:val="22"/>
          <w:szCs w:val="22"/>
        </w:rPr>
        <w:tab/>
      </w:r>
      <w:r w:rsidRPr="00903EBE">
        <w:rPr>
          <w:rFonts w:ascii="Arial" w:hAnsi="Arial" w:cs="Arial"/>
          <w:sz w:val="22"/>
          <w:szCs w:val="22"/>
        </w:rPr>
        <w:tab/>
        <w:t>From:</w:t>
      </w:r>
      <w:r w:rsidRPr="00903EBE">
        <w:rPr>
          <w:rFonts w:ascii="Arial" w:hAnsi="Arial" w:cs="Arial"/>
          <w:sz w:val="22"/>
          <w:szCs w:val="22"/>
        </w:rPr>
        <w:tab/>
      </w:r>
      <w:r w:rsidRPr="00903EBE">
        <w:rPr>
          <w:rFonts w:ascii="Arial" w:hAnsi="Arial" w:cs="Arial"/>
          <w:sz w:val="22"/>
          <w:szCs w:val="22"/>
          <w:u w:val="single"/>
        </w:rPr>
        <w:t xml:space="preserve"> </w:t>
      </w:r>
      <w:r w:rsidR="006B48A4">
        <w:rPr>
          <w:rFonts w:ascii="Arial" w:hAnsi="Arial" w:cs="Arial"/>
          <w:sz w:val="22"/>
          <w:szCs w:val="22"/>
          <w:u w:val="single"/>
        </w:rPr>
        <w:t>7/1/2025</w:t>
      </w:r>
      <w:r w:rsidRPr="00903EBE">
        <w:rPr>
          <w:rFonts w:ascii="Arial" w:hAnsi="Arial" w:cs="Arial"/>
          <w:sz w:val="22"/>
          <w:szCs w:val="22"/>
        </w:rPr>
        <w:tab/>
      </w:r>
      <w:r w:rsidRPr="00903EBE">
        <w:rPr>
          <w:rFonts w:ascii="Arial" w:hAnsi="Arial" w:cs="Arial"/>
          <w:sz w:val="22"/>
          <w:szCs w:val="22"/>
        </w:rPr>
        <w:tab/>
      </w:r>
      <w:r w:rsidRPr="00903EBE">
        <w:rPr>
          <w:rFonts w:ascii="Arial" w:hAnsi="Arial" w:cs="Arial"/>
          <w:sz w:val="22"/>
          <w:szCs w:val="22"/>
        </w:rPr>
        <w:tab/>
        <w:t>To:</w:t>
      </w:r>
      <w:r w:rsidRPr="00903EBE">
        <w:rPr>
          <w:rFonts w:ascii="Arial" w:hAnsi="Arial" w:cs="Arial"/>
          <w:sz w:val="22"/>
          <w:szCs w:val="22"/>
        </w:rPr>
        <w:tab/>
        <w:t>6/30/2</w:t>
      </w:r>
      <w:r w:rsidR="006B48A4">
        <w:rPr>
          <w:rFonts w:ascii="Arial" w:hAnsi="Arial" w:cs="Arial"/>
          <w:sz w:val="22"/>
          <w:szCs w:val="22"/>
        </w:rPr>
        <w:t>02</w:t>
      </w:r>
      <w:r w:rsidR="00D76AFA">
        <w:rPr>
          <w:rFonts w:ascii="Arial" w:hAnsi="Arial" w:cs="Arial"/>
          <w:sz w:val="22"/>
          <w:szCs w:val="22"/>
        </w:rPr>
        <w:t>8</w:t>
      </w:r>
    </w:p>
    <w:p w14:paraId="6F520B23" w14:textId="77777777" w:rsidR="00136BDD" w:rsidRPr="00903EBE" w:rsidRDefault="00136BDD" w:rsidP="00136BDD">
      <w:pPr>
        <w:rPr>
          <w:rFonts w:ascii="Arial" w:hAnsi="Arial" w:cs="Arial"/>
          <w:b/>
          <w:i/>
          <w:sz w:val="22"/>
          <w:szCs w:val="22"/>
        </w:rPr>
      </w:pPr>
    </w:p>
    <w:tbl>
      <w:tblPr>
        <w:tblStyle w:val="TableGrid"/>
        <w:tblW w:w="0" w:type="auto"/>
        <w:tblLook w:val="04A0" w:firstRow="1" w:lastRow="0" w:firstColumn="1" w:lastColumn="0" w:noHBand="0" w:noVBand="1"/>
      </w:tblPr>
      <w:tblGrid>
        <w:gridCol w:w="13945"/>
      </w:tblGrid>
      <w:tr w:rsidR="00136BDD" w:rsidRPr="00135CC9" w14:paraId="5613C48B" w14:textId="77777777" w:rsidTr="0094070A">
        <w:trPr>
          <w:trHeight w:val="4175"/>
        </w:trPr>
        <w:tc>
          <w:tcPr>
            <w:tcW w:w="13945" w:type="dxa"/>
          </w:tcPr>
          <w:p w14:paraId="398236CD" w14:textId="77777777" w:rsidR="00136BDD" w:rsidRPr="00903EBE" w:rsidRDefault="00136BDD" w:rsidP="0094070A">
            <w:pPr>
              <w:rPr>
                <w:rFonts w:ascii="Arial" w:hAnsi="Arial" w:cs="Arial"/>
                <w:sz w:val="22"/>
                <w:szCs w:val="22"/>
              </w:rPr>
            </w:pPr>
            <w:r w:rsidRPr="00903EBE">
              <w:rPr>
                <w:rFonts w:ascii="Arial" w:hAnsi="Arial" w:cs="Arial"/>
                <w:sz w:val="22"/>
                <w:szCs w:val="22"/>
              </w:rPr>
              <w:t xml:space="preserve">PROJECT SUMMARY: </w:t>
            </w:r>
          </w:p>
          <w:p w14:paraId="537D1E54" w14:textId="77777777" w:rsidR="00136BDD" w:rsidRPr="00903EBE" w:rsidRDefault="00136BDD" w:rsidP="0094070A">
            <w:pPr>
              <w:rPr>
                <w:rFonts w:ascii="Arial" w:hAnsi="Arial" w:cs="Arial"/>
                <w:b/>
                <w:i/>
                <w:sz w:val="22"/>
                <w:szCs w:val="22"/>
              </w:rPr>
            </w:pPr>
          </w:p>
          <w:p w14:paraId="02015DC7" w14:textId="66615384" w:rsidR="00136BDD" w:rsidRPr="00903EBE" w:rsidRDefault="00136BDD" w:rsidP="0094070A">
            <w:pPr>
              <w:rPr>
                <w:rFonts w:ascii="Arial" w:hAnsi="Arial" w:cs="Arial"/>
                <w:color w:val="000000"/>
                <w:sz w:val="22"/>
                <w:szCs w:val="22"/>
              </w:rPr>
            </w:pPr>
            <w:r w:rsidRPr="00903EBE">
              <w:rPr>
                <w:rFonts w:ascii="Arial" w:hAnsi="Arial" w:cs="Arial"/>
                <w:color w:val="000000"/>
                <w:sz w:val="22"/>
                <w:szCs w:val="22"/>
              </w:rPr>
              <w:t xml:space="preserve">Centers for Young Adults (CYA) </w:t>
            </w:r>
          </w:p>
          <w:p w14:paraId="4FAAF1F0" w14:textId="6CC992A1" w:rsidR="00D76AFA" w:rsidRDefault="00136BDD" w:rsidP="0094070A">
            <w:pPr>
              <w:rPr>
                <w:rFonts w:ascii="Arial" w:hAnsi="Arial" w:cs="Arial"/>
                <w:bCs/>
                <w:iCs/>
                <w:sz w:val="22"/>
                <w:szCs w:val="22"/>
              </w:rPr>
            </w:pPr>
            <w:r w:rsidRPr="00903EBE">
              <w:rPr>
                <w:rFonts w:ascii="Arial" w:hAnsi="Arial" w:cs="Arial"/>
                <w:bCs/>
                <w:iCs/>
                <w:sz w:val="22"/>
                <w:szCs w:val="22"/>
              </w:rPr>
              <w:t xml:space="preserve">The </w:t>
            </w:r>
            <w:r w:rsidR="004270ED" w:rsidRPr="004270ED">
              <w:rPr>
                <w:rFonts w:ascii="Arial" w:hAnsi="Arial" w:cs="Arial"/>
                <w:bCs/>
                <w:iCs/>
                <w:sz w:val="22"/>
                <w:szCs w:val="22"/>
              </w:rPr>
              <w:t>Centers for Young Adults</w:t>
            </w:r>
            <w:r w:rsidRPr="00903EBE">
              <w:rPr>
                <w:rFonts w:ascii="Arial" w:hAnsi="Arial" w:cs="Arial"/>
                <w:bCs/>
                <w:iCs/>
                <w:sz w:val="22"/>
                <w:szCs w:val="22"/>
              </w:rPr>
              <w:t xml:space="preserve"> program aims to reduce the HIV health inequity experienced by the priority population(s). </w:t>
            </w:r>
          </w:p>
          <w:p w14:paraId="66760590" w14:textId="77777777" w:rsidR="00D76AFA" w:rsidRDefault="00136BDD" w:rsidP="0094070A">
            <w:pPr>
              <w:rPr>
                <w:rFonts w:ascii="Arial" w:hAnsi="Arial" w:cs="Arial"/>
                <w:bCs/>
                <w:iCs/>
                <w:sz w:val="22"/>
                <w:szCs w:val="22"/>
              </w:rPr>
            </w:pPr>
            <w:r w:rsidRPr="00903EBE">
              <w:rPr>
                <w:rFonts w:ascii="Arial" w:hAnsi="Arial" w:cs="Arial"/>
                <w:bCs/>
                <w:iCs/>
                <w:sz w:val="22"/>
                <w:szCs w:val="22"/>
              </w:rPr>
              <w:t>Program Models are designed to</w:t>
            </w:r>
            <w:r w:rsidR="00D76AFA">
              <w:rPr>
                <w:rFonts w:ascii="Arial" w:hAnsi="Arial" w:cs="Arial"/>
                <w:bCs/>
                <w:iCs/>
                <w:sz w:val="22"/>
                <w:szCs w:val="22"/>
              </w:rPr>
              <w:t>:</w:t>
            </w:r>
          </w:p>
          <w:p w14:paraId="3E7B1AD5" w14:textId="77777777" w:rsidR="00D76AFA" w:rsidRDefault="00136BDD" w:rsidP="0094070A">
            <w:pPr>
              <w:rPr>
                <w:rFonts w:ascii="Arial" w:hAnsi="Arial" w:cs="Arial"/>
                <w:bCs/>
                <w:iCs/>
                <w:sz w:val="22"/>
                <w:szCs w:val="22"/>
              </w:rPr>
            </w:pPr>
            <w:r w:rsidRPr="00903EBE">
              <w:rPr>
                <w:rFonts w:ascii="Arial" w:hAnsi="Arial" w:cs="Arial"/>
                <w:bCs/>
                <w:iCs/>
                <w:sz w:val="22"/>
                <w:szCs w:val="22"/>
              </w:rPr>
              <w:t xml:space="preserve">1) facilitate rapid access to HIV treatment, including immediate initiation of antiretroviral treatment; </w:t>
            </w:r>
          </w:p>
          <w:p w14:paraId="73CF8F46" w14:textId="77777777" w:rsidR="00D76AFA" w:rsidRDefault="00136BDD" w:rsidP="0094070A">
            <w:pPr>
              <w:rPr>
                <w:rFonts w:ascii="Arial" w:hAnsi="Arial" w:cs="Arial"/>
                <w:bCs/>
                <w:iCs/>
                <w:sz w:val="22"/>
                <w:szCs w:val="22"/>
              </w:rPr>
            </w:pPr>
            <w:r w:rsidRPr="00903EBE">
              <w:rPr>
                <w:rFonts w:ascii="Arial" w:hAnsi="Arial" w:cs="Arial"/>
                <w:bCs/>
                <w:iCs/>
                <w:sz w:val="22"/>
                <w:szCs w:val="22"/>
              </w:rPr>
              <w:t xml:space="preserve">2) identify and engage individuals living with HIV who are not virally suppressed in HIV care and treatment; and </w:t>
            </w:r>
          </w:p>
          <w:p w14:paraId="097745EE" w14:textId="0B6429A9" w:rsidR="00136BDD" w:rsidRPr="00903EBE" w:rsidRDefault="00136BDD" w:rsidP="0094070A">
            <w:pPr>
              <w:rPr>
                <w:rFonts w:ascii="Arial" w:hAnsi="Arial" w:cs="Arial"/>
                <w:bCs/>
                <w:iCs/>
                <w:sz w:val="22"/>
                <w:szCs w:val="22"/>
              </w:rPr>
            </w:pPr>
            <w:r w:rsidRPr="00903EBE">
              <w:rPr>
                <w:rFonts w:ascii="Arial" w:hAnsi="Arial" w:cs="Arial"/>
                <w:bCs/>
                <w:iCs/>
                <w:sz w:val="22"/>
                <w:szCs w:val="22"/>
              </w:rPr>
              <w:t>3) address social determinants of health</w:t>
            </w:r>
            <w:r w:rsidR="00E14DF1">
              <w:rPr>
                <w:rFonts w:ascii="Arial" w:hAnsi="Arial" w:cs="Arial"/>
                <w:bCs/>
                <w:iCs/>
                <w:sz w:val="22"/>
                <w:szCs w:val="22"/>
              </w:rPr>
              <w:t xml:space="preserve"> (SDOH)</w:t>
            </w:r>
            <w:r w:rsidRPr="00903EBE">
              <w:rPr>
                <w:rFonts w:ascii="Arial" w:hAnsi="Arial" w:cs="Arial"/>
                <w:bCs/>
                <w:iCs/>
                <w:sz w:val="22"/>
                <w:szCs w:val="22"/>
              </w:rPr>
              <w:t xml:space="preserve"> through partnerships with community providers who address the non-medical needs of adolescents/young adults living with HIV/AIDS who are newly diagnosed, out-of-care, or not regularly engaged in clinical care and treatment.</w:t>
            </w:r>
          </w:p>
          <w:p w14:paraId="3FC27C80" w14:textId="77777777" w:rsidR="00136BDD" w:rsidRPr="00903EBE" w:rsidRDefault="00136BDD" w:rsidP="0094070A">
            <w:pPr>
              <w:rPr>
                <w:rFonts w:ascii="Arial" w:hAnsi="Arial" w:cs="Arial"/>
                <w:b/>
                <w:i/>
                <w:sz w:val="22"/>
                <w:szCs w:val="22"/>
              </w:rPr>
            </w:pPr>
          </w:p>
          <w:p w14:paraId="232F1E72" w14:textId="3247EF05" w:rsidR="00136BDD" w:rsidRPr="00903EBE" w:rsidRDefault="00136BDD" w:rsidP="0094070A">
            <w:pPr>
              <w:rPr>
                <w:rFonts w:ascii="Arial" w:hAnsi="Arial" w:cs="Arial"/>
                <w:b/>
                <w:i/>
                <w:sz w:val="22"/>
                <w:szCs w:val="22"/>
              </w:rPr>
            </w:pPr>
            <w:r w:rsidRPr="00903EBE">
              <w:rPr>
                <w:rFonts w:ascii="Arial" w:hAnsi="Arial" w:cs="Arial"/>
                <w:sz w:val="22"/>
                <w:szCs w:val="22"/>
                <w:shd w:val="clear" w:color="auto" w:fill="FFFFFF"/>
              </w:rPr>
              <w:t xml:space="preserve">Programs </w:t>
            </w:r>
            <w:r w:rsidRPr="00903EBE">
              <w:rPr>
                <w:rFonts w:ascii="Arial" w:hAnsi="Arial" w:cs="Arial"/>
                <w:sz w:val="22"/>
                <w:szCs w:val="22"/>
                <w:shd w:val="clear" w:color="auto" w:fill="FFFFFF"/>
                <w:lang w:val="en"/>
              </w:rPr>
              <w:t xml:space="preserve">will provide </w:t>
            </w:r>
            <w:r w:rsidRPr="00903EBE">
              <w:rPr>
                <w:rFonts w:ascii="Arial" w:hAnsi="Arial" w:cs="Arial"/>
                <w:sz w:val="22"/>
                <w:szCs w:val="22"/>
                <w:shd w:val="clear" w:color="auto" w:fill="FFFFFF"/>
              </w:rPr>
              <w:t xml:space="preserve">comprehensive HIV primary care, sexual and behavioral health, medical case management, and supportive services tailored to the unique needs of </w:t>
            </w:r>
            <w:r w:rsidRPr="00903EBE">
              <w:rPr>
                <w:rFonts w:ascii="Arial" w:hAnsi="Arial" w:cs="Arial"/>
                <w:sz w:val="22"/>
                <w:szCs w:val="22"/>
                <w:shd w:val="clear" w:color="auto" w:fill="FFFFFF"/>
                <w:lang w:val="en"/>
              </w:rPr>
              <w:t>adolescents and young adults living with HIV</w:t>
            </w:r>
            <w:r w:rsidRPr="00903EBE">
              <w:rPr>
                <w:rFonts w:ascii="Arial" w:hAnsi="Arial" w:cs="Arial"/>
                <w:sz w:val="22"/>
                <w:szCs w:val="22"/>
                <w:shd w:val="clear" w:color="auto" w:fill="FFFFFF"/>
              </w:rPr>
              <w:t xml:space="preserve"> (ages 13-29).</w:t>
            </w:r>
          </w:p>
          <w:p w14:paraId="61AFD1CE" w14:textId="77777777" w:rsidR="00136BDD" w:rsidRPr="00903EBE" w:rsidRDefault="00136BDD" w:rsidP="0094070A">
            <w:pPr>
              <w:rPr>
                <w:rFonts w:ascii="Arial" w:hAnsi="Arial" w:cs="Arial"/>
                <w:bCs/>
                <w:sz w:val="22"/>
                <w:szCs w:val="22"/>
              </w:rPr>
            </w:pPr>
          </w:p>
          <w:p w14:paraId="3110B63C" w14:textId="3ECDEF4E" w:rsidR="00136BDD" w:rsidRPr="00903EBE" w:rsidRDefault="00136BDD" w:rsidP="0094070A">
            <w:pPr>
              <w:rPr>
                <w:rFonts w:ascii="Arial" w:hAnsi="Arial" w:cs="Arial"/>
                <w:b/>
                <w:i/>
                <w:sz w:val="22"/>
                <w:szCs w:val="22"/>
              </w:rPr>
            </w:pPr>
            <w:r w:rsidRPr="00903EBE">
              <w:rPr>
                <w:rFonts w:ascii="Arial" w:hAnsi="Arial" w:cs="Arial"/>
                <w:b/>
                <w:sz w:val="22"/>
                <w:szCs w:val="22"/>
              </w:rPr>
              <w:t>Priority Populations:</w:t>
            </w:r>
            <w:r w:rsidRPr="00903EBE">
              <w:rPr>
                <w:rFonts w:ascii="Arial" w:hAnsi="Arial" w:cs="Arial"/>
                <w:bCs/>
                <w:sz w:val="22"/>
                <w:szCs w:val="22"/>
              </w:rPr>
              <w:t xml:space="preserve"> Young adults ages (13-29) living with HIV, who are </w:t>
            </w:r>
            <w:r w:rsidR="004270ED" w:rsidRPr="0050288E">
              <w:rPr>
                <w:rFonts w:ascii="Arial" w:hAnsi="Arial" w:cs="Arial"/>
                <w:bCs/>
                <w:sz w:val="22"/>
                <w:szCs w:val="22"/>
              </w:rPr>
              <w:t>Black</w:t>
            </w:r>
            <w:r w:rsidR="004270ED" w:rsidRPr="00D96879">
              <w:rPr>
                <w:rFonts w:ascii="Arial" w:hAnsi="Arial" w:cs="Arial"/>
                <w:bCs/>
                <w:sz w:val="22"/>
                <w:szCs w:val="22"/>
              </w:rPr>
              <w:t xml:space="preserve">, Indigenous, and People of Color </w:t>
            </w:r>
            <w:r w:rsidR="004270ED">
              <w:rPr>
                <w:rFonts w:ascii="Arial" w:hAnsi="Arial" w:cs="Arial"/>
                <w:bCs/>
                <w:sz w:val="22"/>
                <w:szCs w:val="22"/>
              </w:rPr>
              <w:t>(</w:t>
            </w:r>
            <w:r w:rsidRPr="00903EBE">
              <w:rPr>
                <w:rFonts w:ascii="Arial" w:hAnsi="Arial" w:cs="Arial"/>
                <w:bCs/>
                <w:sz w:val="22"/>
                <w:szCs w:val="22"/>
              </w:rPr>
              <w:t>BIPOC</w:t>
            </w:r>
            <w:r w:rsidR="004270ED">
              <w:rPr>
                <w:rFonts w:ascii="Arial" w:hAnsi="Arial" w:cs="Arial"/>
                <w:bCs/>
                <w:sz w:val="22"/>
                <w:szCs w:val="22"/>
              </w:rPr>
              <w:t>)</w:t>
            </w:r>
            <w:r w:rsidRPr="00903EBE">
              <w:rPr>
                <w:rFonts w:ascii="Arial" w:hAnsi="Arial" w:cs="Arial"/>
                <w:bCs/>
                <w:sz w:val="22"/>
                <w:szCs w:val="22"/>
              </w:rPr>
              <w:t xml:space="preserve">, </w:t>
            </w:r>
            <w:r w:rsidR="004270ED" w:rsidRPr="00DB13F1">
              <w:rPr>
                <w:rFonts w:ascii="Arial" w:hAnsi="Arial" w:cs="Arial"/>
                <w:sz w:val="22"/>
                <w:szCs w:val="22"/>
                <w:shd w:val="clear" w:color="auto" w:fill="FFFFFF"/>
              </w:rPr>
              <w:t>lesbian, gay, bisexual, transgender and queer</w:t>
            </w:r>
            <w:r w:rsidR="004270ED" w:rsidRPr="0050288E">
              <w:rPr>
                <w:rFonts w:ascii="Arial" w:hAnsi="Arial" w:cs="Arial"/>
                <w:iCs/>
                <w:sz w:val="22"/>
                <w:szCs w:val="22"/>
                <w:shd w:val="clear" w:color="auto" w:fill="FFFFFF"/>
              </w:rPr>
              <w:t xml:space="preserve"> </w:t>
            </w:r>
            <w:r w:rsidR="004270ED">
              <w:rPr>
                <w:rFonts w:ascii="Arial" w:hAnsi="Arial" w:cs="Arial"/>
                <w:iCs/>
                <w:sz w:val="22"/>
                <w:szCs w:val="22"/>
                <w:shd w:val="clear" w:color="auto" w:fill="FFFFFF"/>
              </w:rPr>
              <w:t>(</w:t>
            </w:r>
            <w:r w:rsidRPr="00903EBE">
              <w:rPr>
                <w:rFonts w:ascii="Arial" w:hAnsi="Arial" w:cs="Arial"/>
                <w:bCs/>
                <w:sz w:val="22"/>
                <w:szCs w:val="22"/>
              </w:rPr>
              <w:t>LGBTQ</w:t>
            </w:r>
            <w:r w:rsidR="004270ED">
              <w:rPr>
                <w:rFonts w:ascii="Arial" w:hAnsi="Arial" w:cs="Arial"/>
                <w:bCs/>
                <w:sz w:val="22"/>
                <w:szCs w:val="22"/>
              </w:rPr>
              <w:t>)</w:t>
            </w:r>
            <w:r w:rsidRPr="00903EBE">
              <w:rPr>
                <w:rFonts w:ascii="Arial" w:hAnsi="Arial" w:cs="Arial"/>
                <w:bCs/>
                <w:sz w:val="22"/>
                <w:szCs w:val="22"/>
              </w:rPr>
              <w:t>, or other adolescent young adult communities who are experiencing disparate HIV outcomes as demonstrated by New York State Surveillance Data.</w:t>
            </w:r>
          </w:p>
          <w:p w14:paraId="692BF2F0" w14:textId="77777777" w:rsidR="00136BDD" w:rsidRPr="00903EBE" w:rsidRDefault="00136BDD" w:rsidP="0094070A">
            <w:pPr>
              <w:rPr>
                <w:rFonts w:ascii="Arial" w:hAnsi="Arial" w:cs="Arial"/>
                <w:b/>
                <w:i/>
                <w:sz w:val="22"/>
                <w:szCs w:val="22"/>
              </w:rPr>
            </w:pPr>
          </w:p>
        </w:tc>
      </w:tr>
    </w:tbl>
    <w:p w14:paraId="4F67DCCA" w14:textId="77FE872B" w:rsidR="00136BDD" w:rsidRPr="00903EBE" w:rsidRDefault="00136BDD" w:rsidP="00136BDD">
      <w:pPr>
        <w:rPr>
          <w:rFonts w:ascii="Arial" w:hAnsi="Arial" w:cs="Arial"/>
          <w:bCs/>
          <w:sz w:val="22"/>
          <w:szCs w:val="22"/>
        </w:rPr>
      </w:pPr>
      <w:r w:rsidRPr="00903EBE">
        <w:rPr>
          <w:rFonts w:ascii="Arial" w:hAnsi="Arial" w:cs="Arial"/>
          <w:color w:val="FF0000"/>
          <w:sz w:val="22"/>
          <w:szCs w:val="22"/>
        </w:rPr>
        <w:t xml:space="preserve">Instructions: </w:t>
      </w:r>
      <w:r w:rsidRPr="00903EBE">
        <w:rPr>
          <w:rFonts w:ascii="Arial" w:hAnsi="Arial" w:cs="Arial"/>
          <w:sz w:val="22"/>
          <w:szCs w:val="22"/>
        </w:rPr>
        <w:t xml:space="preserve">For the </w:t>
      </w:r>
      <w:r w:rsidR="006B48A4">
        <w:rPr>
          <w:rFonts w:ascii="Arial" w:hAnsi="Arial" w:cs="Arial"/>
          <w:sz w:val="22"/>
          <w:szCs w:val="22"/>
        </w:rPr>
        <w:t xml:space="preserve">SFS </w:t>
      </w:r>
      <w:r w:rsidRPr="00903EBE">
        <w:rPr>
          <w:rFonts w:ascii="Arial" w:hAnsi="Arial" w:cs="Arial"/>
          <w:b/>
          <w:sz w:val="22"/>
          <w:szCs w:val="22"/>
        </w:rPr>
        <w:t>Work Plan Project Summary</w:t>
      </w:r>
      <w:r w:rsidRPr="00903EBE">
        <w:rPr>
          <w:rFonts w:ascii="Arial" w:hAnsi="Arial" w:cs="Arial"/>
          <w:sz w:val="22"/>
          <w:szCs w:val="22"/>
        </w:rPr>
        <w:t xml:space="preserve">, applicants are instructed to insert the Project Summary as it is listed above. </w:t>
      </w:r>
      <w:r w:rsidRPr="00903EBE">
        <w:rPr>
          <w:rFonts w:ascii="Arial" w:hAnsi="Arial" w:cs="Arial"/>
          <w:bCs/>
          <w:sz w:val="22"/>
          <w:szCs w:val="22"/>
        </w:rPr>
        <w:t>Any additional Project Summary entered in th</w:t>
      </w:r>
      <w:r w:rsidR="006B48A4">
        <w:rPr>
          <w:rFonts w:ascii="Arial" w:hAnsi="Arial" w:cs="Arial"/>
          <w:bCs/>
          <w:sz w:val="22"/>
          <w:szCs w:val="22"/>
        </w:rPr>
        <w:t>is</w:t>
      </w:r>
      <w:r w:rsidRPr="00903EBE">
        <w:rPr>
          <w:rFonts w:ascii="Arial" w:hAnsi="Arial" w:cs="Arial"/>
          <w:bCs/>
          <w:sz w:val="22"/>
          <w:szCs w:val="22"/>
        </w:rPr>
        <w:t xml:space="preserve"> area </w:t>
      </w:r>
      <w:r w:rsidRPr="00903EBE">
        <w:rPr>
          <w:rFonts w:ascii="Arial" w:hAnsi="Arial" w:cs="Arial"/>
          <w:bCs/>
          <w:sz w:val="22"/>
          <w:szCs w:val="22"/>
          <w:u w:val="single"/>
        </w:rPr>
        <w:t>will not</w:t>
      </w:r>
      <w:r w:rsidRPr="00903EBE">
        <w:rPr>
          <w:rFonts w:ascii="Arial" w:hAnsi="Arial" w:cs="Arial"/>
          <w:bCs/>
          <w:sz w:val="22"/>
          <w:szCs w:val="22"/>
        </w:rPr>
        <w:t xml:space="preserve"> be considered or scored by reviewers of your application.</w:t>
      </w:r>
    </w:p>
    <w:p w14:paraId="5E8E187C" w14:textId="77777777" w:rsidR="00136BDD" w:rsidRPr="00903EBE" w:rsidRDefault="00136BDD" w:rsidP="00136BDD">
      <w:pPr>
        <w:keepNext/>
        <w:tabs>
          <w:tab w:val="left" w:pos="540"/>
          <w:tab w:val="left" w:pos="3960"/>
          <w:tab w:val="left" w:pos="5220"/>
          <w:tab w:val="left" w:pos="7110"/>
        </w:tabs>
        <w:ind w:right="-90"/>
        <w:rPr>
          <w:rFonts w:ascii="Arial" w:hAnsi="Arial" w:cs="Arial"/>
          <w:bCs/>
          <w:sz w:val="22"/>
          <w:szCs w:val="22"/>
        </w:rPr>
      </w:pPr>
    </w:p>
    <w:p w14:paraId="0C4E247E" w14:textId="3B6F1E7F" w:rsidR="00136BDD" w:rsidRPr="00903EBE" w:rsidRDefault="00136BDD" w:rsidP="00136BDD">
      <w:pPr>
        <w:keepNext/>
        <w:tabs>
          <w:tab w:val="left" w:pos="540"/>
          <w:tab w:val="left" w:pos="3960"/>
          <w:tab w:val="left" w:pos="5220"/>
          <w:tab w:val="left" w:pos="7110"/>
        </w:tabs>
        <w:ind w:right="-90"/>
        <w:rPr>
          <w:rFonts w:ascii="Arial" w:hAnsi="Arial" w:cs="Arial"/>
          <w:bCs/>
          <w:sz w:val="22"/>
          <w:szCs w:val="22"/>
        </w:rPr>
      </w:pPr>
      <w:r w:rsidRPr="00903EBE">
        <w:rPr>
          <w:rFonts w:ascii="Arial" w:hAnsi="Arial" w:cs="Arial"/>
          <w:sz w:val="22"/>
          <w:szCs w:val="22"/>
        </w:rPr>
        <w:t xml:space="preserve">Funded applicants will be held to the Objective, Tasks and Performance Measures as listed in </w:t>
      </w:r>
      <w:r w:rsidRPr="00903EBE">
        <w:rPr>
          <w:rFonts w:ascii="Arial" w:hAnsi="Arial" w:cs="Arial"/>
          <w:bCs/>
          <w:sz w:val="22"/>
          <w:szCs w:val="22"/>
        </w:rPr>
        <w:t xml:space="preserve">Attachment </w:t>
      </w:r>
      <w:r w:rsidR="00780EB6">
        <w:rPr>
          <w:rFonts w:ascii="Arial" w:hAnsi="Arial" w:cs="Arial"/>
          <w:bCs/>
          <w:sz w:val="22"/>
          <w:szCs w:val="22"/>
        </w:rPr>
        <w:t>6</w:t>
      </w:r>
      <w:r w:rsidRPr="00903EBE">
        <w:rPr>
          <w:rFonts w:ascii="Arial" w:hAnsi="Arial" w:cs="Arial"/>
          <w:bCs/>
          <w:sz w:val="22"/>
          <w:szCs w:val="22"/>
        </w:rPr>
        <w:t xml:space="preserve">: Work Plan. Applicants are </w:t>
      </w:r>
      <w:r w:rsidRPr="00903EBE">
        <w:rPr>
          <w:rFonts w:ascii="Arial" w:hAnsi="Arial" w:cs="Arial"/>
          <w:bCs/>
          <w:sz w:val="22"/>
          <w:szCs w:val="22"/>
          <w:u w:val="single"/>
        </w:rPr>
        <w:t>not</w:t>
      </w:r>
      <w:r w:rsidRPr="00903EBE">
        <w:rPr>
          <w:rFonts w:ascii="Arial" w:hAnsi="Arial" w:cs="Arial"/>
          <w:bCs/>
          <w:sz w:val="22"/>
          <w:szCs w:val="22"/>
        </w:rPr>
        <w:t xml:space="preserve"> required to enter any Objectives, Tasks or Performance Measures into the </w:t>
      </w:r>
      <w:r w:rsidR="006B48A4">
        <w:rPr>
          <w:rFonts w:ascii="Arial" w:hAnsi="Arial" w:cs="Arial"/>
          <w:bCs/>
          <w:sz w:val="22"/>
          <w:szCs w:val="22"/>
        </w:rPr>
        <w:t xml:space="preserve">SFS </w:t>
      </w:r>
      <w:r w:rsidRPr="00903EBE">
        <w:rPr>
          <w:rFonts w:ascii="Arial" w:hAnsi="Arial" w:cs="Arial"/>
          <w:bCs/>
          <w:sz w:val="22"/>
          <w:szCs w:val="22"/>
        </w:rPr>
        <w:t>Work Plan.</w:t>
      </w:r>
    </w:p>
    <w:p w14:paraId="2CDAA847" w14:textId="77777777" w:rsidR="00136BDD" w:rsidRPr="00903EBE" w:rsidRDefault="00136BDD" w:rsidP="00136BDD">
      <w:pPr>
        <w:keepNext/>
        <w:tabs>
          <w:tab w:val="left" w:pos="540"/>
          <w:tab w:val="left" w:pos="3960"/>
          <w:tab w:val="left" w:pos="5220"/>
          <w:tab w:val="left" w:pos="7110"/>
        </w:tabs>
        <w:ind w:right="-90"/>
        <w:rPr>
          <w:rFonts w:ascii="Arial" w:hAnsi="Arial" w:cs="Arial"/>
          <w:bCs/>
          <w:sz w:val="22"/>
          <w:szCs w:val="22"/>
        </w:rPr>
      </w:pPr>
    </w:p>
    <w:p w14:paraId="5B766F9A" w14:textId="77777777" w:rsidR="00136BDD" w:rsidRPr="00903EBE" w:rsidRDefault="00136BDD" w:rsidP="00136BDD">
      <w:pPr>
        <w:keepNext/>
        <w:tabs>
          <w:tab w:val="left" w:pos="540"/>
          <w:tab w:val="left" w:pos="3960"/>
          <w:tab w:val="left" w:pos="5220"/>
          <w:tab w:val="left" w:pos="7110"/>
        </w:tabs>
        <w:ind w:right="-90"/>
        <w:rPr>
          <w:rFonts w:ascii="Arial" w:hAnsi="Arial" w:cs="Arial"/>
          <w:bCs/>
          <w:sz w:val="22"/>
          <w:szCs w:val="22"/>
        </w:rPr>
      </w:pPr>
    </w:p>
    <w:p w14:paraId="69A44F8B" w14:textId="2DED6591" w:rsidR="00EC12A6" w:rsidRDefault="00EC12A6">
      <w:pPr>
        <w:widowControl/>
        <w:spacing w:after="160" w:line="259" w:lineRule="auto"/>
        <w:rPr>
          <w:rFonts w:ascii="Arial" w:hAnsi="Arial" w:cs="Arial"/>
          <w:b/>
          <w:i/>
          <w:sz w:val="22"/>
          <w:szCs w:val="22"/>
        </w:rPr>
      </w:pPr>
      <w:r>
        <w:rPr>
          <w:rFonts w:ascii="Arial" w:hAnsi="Arial" w:cs="Arial"/>
          <w:b/>
          <w:i/>
          <w:sz w:val="22"/>
          <w:szCs w:val="22"/>
        </w:rPr>
        <w:br w:type="page"/>
      </w:r>
    </w:p>
    <w:tbl>
      <w:tblPr>
        <w:tblStyle w:val="TableGrid"/>
        <w:tblW w:w="13675" w:type="dxa"/>
        <w:tblLayout w:type="fixed"/>
        <w:tblLook w:val="04A0" w:firstRow="1" w:lastRow="0" w:firstColumn="1" w:lastColumn="0" w:noHBand="0" w:noVBand="1"/>
      </w:tblPr>
      <w:tblGrid>
        <w:gridCol w:w="3055"/>
        <w:gridCol w:w="4770"/>
        <w:gridCol w:w="5850"/>
      </w:tblGrid>
      <w:tr w:rsidR="00D76AFA" w:rsidRPr="00135CC9" w14:paraId="4C89AF1C" w14:textId="77777777" w:rsidTr="00D76AFA">
        <w:trPr>
          <w:trHeight w:val="962"/>
        </w:trPr>
        <w:tc>
          <w:tcPr>
            <w:tcW w:w="3055" w:type="dxa"/>
            <w:shd w:val="clear" w:color="auto" w:fill="FFE599" w:themeFill="accent4" w:themeFillTint="66"/>
          </w:tcPr>
          <w:p w14:paraId="5F8C7736" w14:textId="35033C4E" w:rsidR="00D76AFA" w:rsidRPr="00903EBE" w:rsidRDefault="00D76AFA" w:rsidP="0094070A">
            <w:pPr>
              <w:jc w:val="center"/>
              <w:rPr>
                <w:rFonts w:ascii="Arial" w:hAnsi="Arial" w:cs="Arial"/>
                <w:sz w:val="22"/>
                <w:szCs w:val="22"/>
              </w:rPr>
            </w:pPr>
            <w:r w:rsidRPr="00903EBE">
              <w:rPr>
                <w:rFonts w:ascii="Arial" w:hAnsi="Arial" w:cs="Arial"/>
                <w:sz w:val="22"/>
                <w:szCs w:val="22"/>
              </w:rPr>
              <w:lastRenderedPageBreak/>
              <w:t>OBJECTIVE</w:t>
            </w:r>
          </w:p>
          <w:p w14:paraId="2AC64C27" w14:textId="77777777" w:rsidR="00D76AFA" w:rsidRPr="00903EBE" w:rsidRDefault="00D76AFA" w:rsidP="0094070A">
            <w:pPr>
              <w:jc w:val="center"/>
              <w:rPr>
                <w:rFonts w:ascii="Arial" w:hAnsi="Arial" w:cs="Arial"/>
                <w:sz w:val="22"/>
                <w:szCs w:val="22"/>
              </w:rPr>
            </w:pPr>
          </w:p>
        </w:tc>
        <w:tc>
          <w:tcPr>
            <w:tcW w:w="4770" w:type="dxa"/>
            <w:shd w:val="clear" w:color="auto" w:fill="FFE599" w:themeFill="accent4" w:themeFillTint="66"/>
          </w:tcPr>
          <w:p w14:paraId="124F07A9" w14:textId="5EA8EA02" w:rsidR="00D76AFA" w:rsidRPr="00903EBE" w:rsidRDefault="00D76AFA" w:rsidP="0094070A">
            <w:pPr>
              <w:jc w:val="center"/>
              <w:rPr>
                <w:rFonts w:ascii="Arial" w:hAnsi="Arial" w:cs="Arial"/>
                <w:sz w:val="22"/>
                <w:szCs w:val="22"/>
              </w:rPr>
            </w:pPr>
            <w:r w:rsidRPr="00903EBE">
              <w:rPr>
                <w:rFonts w:ascii="Arial" w:hAnsi="Arial" w:cs="Arial"/>
                <w:sz w:val="22"/>
                <w:szCs w:val="22"/>
              </w:rPr>
              <w:t>TASKS</w:t>
            </w:r>
          </w:p>
          <w:p w14:paraId="7CE58A4D" w14:textId="77777777" w:rsidR="00D76AFA" w:rsidRPr="00903EBE" w:rsidRDefault="00D76AFA" w:rsidP="0094070A">
            <w:pPr>
              <w:jc w:val="center"/>
              <w:rPr>
                <w:rFonts w:ascii="Arial" w:hAnsi="Arial" w:cs="Arial"/>
                <w:sz w:val="22"/>
                <w:szCs w:val="22"/>
              </w:rPr>
            </w:pPr>
          </w:p>
        </w:tc>
        <w:tc>
          <w:tcPr>
            <w:tcW w:w="5850" w:type="dxa"/>
            <w:shd w:val="clear" w:color="auto" w:fill="FFE599" w:themeFill="accent4" w:themeFillTint="66"/>
          </w:tcPr>
          <w:p w14:paraId="0253885A" w14:textId="582D587F" w:rsidR="00D76AFA" w:rsidRPr="00903EBE" w:rsidRDefault="00D76AFA" w:rsidP="0094070A">
            <w:pPr>
              <w:jc w:val="center"/>
              <w:rPr>
                <w:rFonts w:ascii="Arial" w:hAnsi="Arial" w:cs="Arial"/>
                <w:sz w:val="22"/>
                <w:szCs w:val="22"/>
              </w:rPr>
            </w:pPr>
            <w:r w:rsidRPr="00903EBE">
              <w:rPr>
                <w:rFonts w:ascii="Arial" w:hAnsi="Arial" w:cs="Arial"/>
                <w:sz w:val="22"/>
                <w:szCs w:val="22"/>
              </w:rPr>
              <w:t>PERFORMANCE MEASURES</w:t>
            </w:r>
          </w:p>
        </w:tc>
      </w:tr>
      <w:tr w:rsidR="00D76AFA" w:rsidRPr="00135CC9" w14:paraId="24B30C8C" w14:textId="77777777" w:rsidTr="00D76AFA">
        <w:trPr>
          <w:trHeight w:val="1628"/>
        </w:trPr>
        <w:tc>
          <w:tcPr>
            <w:tcW w:w="3055" w:type="dxa"/>
            <w:vMerge w:val="restart"/>
          </w:tcPr>
          <w:p w14:paraId="590F95CB" w14:textId="77777777" w:rsidR="00D76AFA" w:rsidRPr="00903EBE" w:rsidRDefault="00D76AFA" w:rsidP="0094070A">
            <w:pPr>
              <w:rPr>
                <w:rFonts w:ascii="Arial" w:hAnsi="Arial" w:cs="Arial"/>
                <w:sz w:val="22"/>
                <w:szCs w:val="22"/>
              </w:rPr>
            </w:pPr>
            <w:r w:rsidRPr="00903EBE">
              <w:rPr>
                <w:rFonts w:ascii="Arial" w:hAnsi="Arial" w:cs="Arial"/>
                <w:sz w:val="22"/>
                <w:szCs w:val="22"/>
              </w:rPr>
              <w:t>1:</w:t>
            </w:r>
            <w:r w:rsidRPr="00903EBE">
              <w:rPr>
                <w:rFonts w:ascii="Arial" w:hAnsi="Arial" w:cs="Arial"/>
                <w:color w:val="000000"/>
                <w:sz w:val="22"/>
                <w:szCs w:val="22"/>
              </w:rPr>
              <w:t xml:space="preserve"> </w:t>
            </w:r>
            <w:r w:rsidRPr="00903EBE">
              <w:rPr>
                <w:rFonts w:ascii="Arial" w:hAnsi="Arial" w:cs="Arial"/>
                <w:sz w:val="22"/>
                <w:szCs w:val="22"/>
              </w:rPr>
              <w:t>Program Operations and Administration</w:t>
            </w:r>
          </w:p>
        </w:tc>
        <w:tc>
          <w:tcPr>
            <w:tcW w:w="4770" w:type="dxa"/>
            <w:tcBorders>
              <w:bottom w:val="single" w:sz="4" w:space="0" w:color="auto"/>
            </w:tcBorders>
          </w:tcPr>
          <w:p w14:paraId="01E5BCAF" w14:textId="79D0D3E8" w:rsidR="00D76AFA" w:rsidRPr="00D76AFA" w:rsidRDefault="00D76AFA" w:rsidP="00D76AFA">
            <w:pPr>
              <w:pStyle w:val="ListParagraph"/>
              <w:numPr>
                <w:ilvl w:val="1"/>
                <w:numId w:val="3"/>
              </w:numPr>
              <w:suppressAutoHyphens/>
              <w:rPr>
                <w:rFonts w:ascii="Arial" w:hAnsi="Arial" w:cs="Arial"/>
                <w:sz w:val="22"/>
                <w:szCs w:val="22"/>
              </w:rPr>
            </w:pPr>
            <w:r w:rsidRPr="00D76AFA">
              <w:rPr>
                <w:rFonts w:ascii="Arial" w:hAnsi="Arial" w:cs="Arial"/>
                <w:sz w:val="22"/>
                <w:szCs w:val="22"/>
              </w:rPr>
              <w:t xml:space="preserve">Ensure systems provide administrative leadership, guidance, and support to integrate </w:t>
            </w:r>
            <w:r w:rsidR="004270ED" w:rsidRPr="00903EBE">
              <w:rPr>
                <w:rFonts w:ascii="Arial" w:hAnsi="Arial" w:cs="Arial"/>
                <w:color w:val="000000"/>
                <w:sz w:val="22"/>
                <w:szCs w:val="22"/>
              </w:rPr>
              <w:t xml:space="preserve">Centers for Young Adults </w:t>
            </w:r>
            <w:r w:rsidR="004270ED">
              <w:rPr>
                <w:rFonts w:ascii="Arial" w:hAnsi="Arial" w:cs="Arial"/>
                <w:color w:val="000000"/>
                <w:sz w:val="22"/>
                <w:szCs w:val="22"/>
              </w:rPr>
              <w:t>(</w:t>
            </w:r>
            <w:r w:rsidRPr="00D76AFA">
              <w:rPr>
                <w:rFonts w:ascii="Arial" w:hAnsi="Arial" w:cs="Arial"/>
                <w:sz w:val="22"/>
                <w:szCs w:val="22"/>
              </w:rPr>
              <w:t>CYA</w:t>
            </w:r>
            <w:r w:rsidR="004270ED">
              <w:rPr>
                <w:rFonts w:ascii="Arial" w:hAnsi="Arial" w:cs="Arial"/>
                <w:sz w:val="22"/>
                <w:szCs w:val="22"/>
              </w:rPr>
              <w:t>)</w:t>
            </w:r>
            <w:r w:rsidRPr="00D76AFA">
              <w:rPr>
                <w:rFonts w:ascii="Arial" w:hAnsi="Arial" w:cs="Arial"/>
                <w:sz w:val="22"/>
                <w:szCs w:val="22"/>
              </w:rPr>
              <w:t xml:space="preserve"> into the agency’s overall programming </w:t>
            </w:r>
            <w:r w:rsidR="00452D8A">
              <w:rPr>
                <w:rFonts w:ascii="Arial" w:hAnsi="Arial" w:cs="Arial"/>
                <w:sz w:val="22"/>
                <w:szCs w:val="22"/>
              </w:rPr>
              <w:t xml:space="preserve">and </w:t>
            </w:r>
            <w:r w:rsidRPr="00D76AFA">
              <w:rPr>
                <w:rFonts w:ascii="Arial" w:hAnsi="Arial" w:cs="Arial"/>
                <w:sz w:val="22"/>
                <w:szCs w:val="22"/>
              </w:rPr>
              <w:t>achieve the outcomes indicated in the RFA.</w:t>
            </w:r>
          </w:p>
        </w:tc>
        <w:tc>
          <w:tcPr>
            <w:tcW w:w="5850" w:type="dxa"/>
            <w:tcBorders>
              <w:bottom w:val="single" w:sz="4" w:space="0" w:color="auto"/>
            </w:tcBorders>
          </w:tcPr>
          <w:p w14:paraId="19A7DAC4" w14:textId="5A92F272" w:rsidR="00D76AFA" w:rsidRPr="00903EBE" w:rsidRDefault="00D76AFA" w:rsidP="00D76AFA">
            <w:pPr>
              <w:ind w:left="504" w:hanging="504"/>
              <w:rPr>
                <w:rFonts w:ascii="Arial" w:hAnsi="Arial" w:cs="Arial"/>
                <w:sz w:val="22"/>
                <w:szCs w:val="22"/>
              </w:rPr>
            </w:pPr>
            <w:r w:rsidRPr="00903EBE">
              <w:rPr>
                <w:rFonts w:ascii="Arial" w:hAnsi="Arial" w:cs="Arial"/>
                <w:sz w:val="22"/>
                <w:szCs w:val="22"/>
              </w:rPr>
              <w:t xml:space="preserve">1.1.1 Formal meetings with agency leadership to review program progress </w:t>
            </w:r>
            <w:r w:rsidR="00452D8A">
              <w:rPr>
                <w:rFonts w:ascii="Arial" w:hAnsi="Arial" w:cs="Arial"/>
                <w:sz w:val="22"/>
                <w:szCs w:val="22"/>
              </w:rPr>
              <w:t xml:space="preserve">towards </w:t>
            </w:r>
            <w:r w:rsidRPr="00903EBE">
              <w:rPr>
                <w:rFonts w:ascii="Arial" w:hAnsi="Arial" w:cs="Arial"/>
                <w:sz w:val="22"/>
                <w:szCs w:val="22"/>
              </w:rPr>
              <w:t>achieving contract deliverables are routinely conducted</w:t>
            </w:r>
            <w:r w:rsidR="004270ED">
              <w:rPr>
                <w:rFonts w:ascii="Arial" w:hAnsi="Arial" w:cs="Arial"/>
                <w:sz w:val="22"/>
                <w:szCs w:val="22"/>
              </w:rPr>
              <w:t>,</w:t>
            </w:r>
            <w:r w:rsidRPr="00903EBE">
              <w:rPr>
                <w:rFonts w:ascii="Arial" w:hAnsi="Arial" w:cs="Arial"/>
                <w:sz w:val="22"/>
                <w:szCs w:val="22"/>
              </w:rPr>
              <w:t xml:space="preserve"> documented, and available for review.</w:t>
            </w:r>
          </w:p>
          <w:p w14:paraId="5780504B" w14:textId="77777777" w:rsidR="00D76AFA" w:rsidRPr="00903EBE" w:rsidRDefault="00D76AFA" w:rsidP="00D76AFA">
            <w:pPr>
              <w:ind w:left="504" w:hanging="504"/>
              <w:rPr>
                <w:rFonts w:ascii="Arial" w:hAnsi="Arial" w:cs="Arial"/>
                <w:sz w:val="22"/>
                <w:szCs w:val="22"/>
              </w:rPr>
            </w:pPr>
          </w:p>
        </w:tc>
      </w:tr>
      <w:tr w:rsidR="00D76AFA" w:rsidRPr="00135CC9" w14:paraId="3D5C09A8" w14:textId="77777777" w:rsidTr="00D76AFA">
        <w:trPr>
          <w:trHeight w:val="1349"/>
        </w:trPr>
        <w:tc>
          <w:tcPr>
            <w:tcW w:w="3055" w:type="dxa"/>
            <w:vMerge/>
          </w:tcPr>
          <w:p w14:paraId="03F5126E" w14:textId="77777777" w:rsidR="00D76AFA" w:rsidRPr="00903EBE" w:rsidRDefault="00D76AFA" w:rsidP="0094070A">
            <w:pPr>
              <w:rPr>
                <w:rFonts w:ascii="Arial" w:hAnsi="Arial" w:cs="Arial"/>
                <w:sz w:val="22"/>
                <w:szCs w:val="22"/>
              </w:rPr>
            </w:pPr>
          </w:p>
        </w:tc>
        <w:tc>
          <w:tcPr>
            <w:tcW w:w="4770" w:type="dxa"/>
            <w:tcBorders>
              <w:bottom w:val="single" w:sz="4" w:space="0" w:color="auto"/>
            </w:tcBorders>
          </w:tcPr>
          <w:p w14:paraId="4B1D7541" w14:textId="08D25027"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1.2 Establish support from agency’s administrative leadership to integrate </w:t>
            </w:r>
            <w:r w:rsidR="004270ED" w:rsidRPr="00903EBE">
              <w:rPr>
                <w:rFonts w:ascii="Arial" w:hAnsi="Arial" w:cs="Arial"/>
                <w:color w:val="000000"/>
                <w:sz w:val="22"/>
                <w:szCs w:val="22"/>
              </w:rPr>
              <w:t xml:space="preserve">Centers for Young Adults </w:t>
            </w:r>
            <w:r w:rsidR="004270ED">
              <w:rPr>
                <w:rFonts w:ascii="Arial" w:hAnsi="Arial" w:cs="Arial"/>
                <w:color w:val="000000"/>
                <w:sz w:val="22"/>
                <w:szCs w:val="22"/>
              </w:rPr>
              <w:t>(</w:t>
            </w:r>
            <w:r w:rsidRPr="00903EBE">
              <w:rPr>
                <w:rFonts w:ascii="Arial" w:hAnsi="Arial" w:cs="Arial"/>
                <w:sz w:val="22"/>
                <w:szCs w:val="22"/>
              </w:rPr>
              <w:t>CYA</w:t>
            </w:r>
            <w:r w:rsidR="004270ED">
              <w:rPr>
                <w:rFonts w:ascii="Arial" w:hAnsi="Arial" w:cs="Arial"/>
                <w:sz w:val="22"/>
                <w:szCs w:val="22"/>
              </w:rPr>
              <w:t>)</w:t>
            </w:r>
            <w:r w:rsidRPr="00903EBE">
              <w:rPr>
                <w:rFonts w:ascii="Arial" w:hAnsi="Arial" w:cs="Arial"/>
                <w:sz w:val="22"/>
                <w:szCs w:val="22"/>
              </w:rPr>
              <w:t xml:space="preserve"> into the agency’s overall programming and ensure success.</w:t>
            </w:r>
          </w:p>
          <w:p w14:paraId="442814A2" w14:textId="77777777" w:rsidR="00D76AFA" w:rsidRPr="00903EBE" w:rsidRDefault="00D76AFA" w:rsidP="00D76AFA">
            <w:pPr>
              <w:ind w:left="360" w:hanging="360"/>
              <w:rPr>
                <w:rFonts w:ascii="Arial" w:hAnsi="Arial" w:cs="Arial"/>
                <w:sz w:val="22"/>
                <w:szCs w:val="22"/>
              </w:rPr>
            </w:pPr>
          </w:p>
        </w:tc>
        <w:tc>
          <w:tcPr>
            <w:tcW w:w="5850" w:type="dxa"/>
            <w:tcBorders>
              <w:bottom w:val="single" w:sz="4" w:space="0" w:color="auto"/>
            </w:tcBorders>
          </w:tcPr>
          <w:p w14:paraId="7DE24B86" w14:textId="526BE757" w:rsidR="00D76AFA" w:rsidRPr="00903EBE" w:rsidRDefault="00D76AFA" w:rsidP="00D76AFA">
            <w:pPr>
              <w:ind w:left="504" w:hanging="504"/>
              <w:rPr>
                <w:rFonts w:ascii="Arial" w:hAnsi="Arial" w:cs="Arial"/>
                <w:sz w:val="22"/>
                <w:szCs w:val="22"/>
              </w:rPr>
            </w:pPr>
            <w:r w:rsidRPr="00903EBE">
              <w:rPr>
                <w:rFonts w:ascii="Arial" w:hAnsi="Arial" w:cs="Arial"/>
                <w:sz w:val="22"/>
                <w:szCs w:val="22"/>
              </w:rPr>
              <w:t xml:space="preserve">1.2.1 Program monitoring and routine communication with program staff indicates </w:t>
            </w:r>
            <w:r w:rsidR="00452D8A">
              <w:rPr>
                <w:rFonts w:ascii="Arial" w:hAnsi="Arial" w:cs="Arial"/>
                <w:sz w:val="22"/>
                <w:szCs w:val="22"/>
              </w:rPr>
              <w:t xml:space="preserve">sufficient </w:t>
            </w:r>
            <w:r w:rsidRPr="00903EBE">
              <w:rPr>
                <w:rFonts w:ascii="Arial" w:hAnsi="Arial" w:cs="Arial"/>
                <w:sz w:val="22"/>
                <w:szCs w:val="22"/>
              </w:rPr>
              <w:t>resources and program oversight is provided.</w:t>
            </w:r>
          </w:p>
        </w:tc>
      </w:tr>
      <w:tr w:rsidR="00D76AFA" w:rsidRPr="00135CC9" w14:paraId="04029E27" w14:textId="77777777" w:rsidTr="00D76AFA">
        <w:trPr>
          <w:trHeight w:val="1772"/>
        </w:trPr>
        <w:tc>
          <w:tcPr>
            <w:tcW w:w="3055" w:type="dxa"/>
            <w:vMerge/>
          </w:tcPr>
          <w:p w14:paraId="0EEB541E" w14:textId="77777777" w:rsidR="00D76AFA" w:rsidRPr="00903EBE" w:rsidRDefault="00D76AFA" w:rsidP="0094070A">
            <w:pPr>
              <w:rPr>
                <w:rFonts w:ascii="Arial" w:hAnsi="Arial" w:cs="Arial"/>
                <w:sz w:val="22"/>
                <w:szCs w:val="22"/>
              </w:rPr>
            </w:pPr>
          </w:p>
        </w:tc>
        <w:tc>
          <w:tcPr>
            <w:tcW w:w="4770" w:type="dxa"/>
          </w:tcPr>
          <w:p w14:paraId="1D845C9D" w14:textId="765943B4" w:rsidR="00D76AFA" w:rsidRPr="00903EBE" w:rsidRDefault="00D76AFA" w:rsidP="00D76AFA">
            <w:pPr>
              <w:ind w:left="360" w:hanging="360"/>
              <w:rPr>
                <w:rFonts w:ascii="Arial" w:hAnsi="Arial" w:cs="Arial"/>
                <w:sz w:val="22"/>
                <w:szCs w:val="22"/>
              </w:rPr>
            </w:pPr>
            <w:r w:rsidRPr="00903EBE">
              <w:rPr>
                <w:rFonts w:ascii="Arial" w:hAnsi="Arial" w:cs="Arial"/>
                <w:sz w:val="22"/>
                <w:szCs w:val="22"/>
              </w:rPr>
              <w:t>1.3 Contractor will create program</w:t>
            </w:r>
            <w:r w:rsidR="00452D8A">
              <w:rPr>
                <w:rFonts w:ascii="Arial" w:hAnsi="Arial" w:cs="Arial"/>
                <w:sz w:val="22"/>
                <w:szCs w:val="22"/>
              </w:rPr>
              <w:t>-</w:t>
            </w:r>
            <w:r w:rsidRPr="00903EBE">
              <w:rPr>
                <w:rFonts w:ascii="Arial" w:hAnsi="Arial" w:cs="Arial"/>
                <w:sz w:val="22"/>
                <w:szCs w:val="22"/>
              </w:rPr>
              <w:t>specific policies and procedures.</w:t>
            </w:r>
          </w:p>
        </w:tc>
        <w:tc>
          <w:tcPr>
            <w:tcW w:w="5850" w:type="dxa"/>
          </w:tcPr>
          <w:p w14:paraId="625281D1" w14:textId="598738C4" w:rsidR="00D76AFA" w:rsidRDefault="00D76AFA" w:rsidP="00D76AFA">
            <w:pPr>
              <w:ind w:left="504" w:hanging="504"/>
              <w:rPr>
                <w:rFonts w:ascii="Arial" w:hAnsi="Arial" w:cs="Arial"/>
                <w:sz w:val="22"/>
                <w:szCs w:val="22"/>
              </w:rPr>
            </w:pPr>
            <w:r w:rsidRPr="00903EBE">
              <w:rPr>
                <w:rFonts w:ascii="Arial" w:hAnsi="Arial" w:cs="Arial"/>
                <w:sz w:val="22"/>
                <w:szCs w:val="22"/>
              </w:rPr>
              <w:t>1.3.1 Comprehensive program policies and procedures as indicated in the standards will be created and updated as appropriate. Policies and Procedures will be reviewed during the program monitoring reviews to ensure 100% of required policies have been documented and implemented.</w:t>
            </w:r>
          </w:p>
          <w:p w14:paraId="606A6503" w14:textId="3EE7EBEC" w:rsidR="00D76AFA" w:rsidRPr="00903EBE" w:rsidRDefault="00D76AFA" w:rsidP="00D76AFA">
            <w:pPr>
              <w:ind w:left="504" w:hanging="504"/>
              <w:rPr>
                <w:rFonts w:ascii="Arial" w:hAnsi="Arial" w:cs="Arial"/>
                <w:sz w:val="22"/>
                <w:szCs w:val="22"/>
              </w:rPr>
            </w:pPr>
          </w:p>
        </w:tc>
      </w:tr>
      <w:tr w:rsidR="00D76AFA" w:rsidRPr="00135CC9" w14:paraId="62272918" w14:textId="77777777" w:rsidTr="00D76AFA">
        <w:trPr>
          <w:trHeight w:val="1340"/>
        </w:trPr>
        <w:tc>
          <w:tcPr>
            <w:tcW w:w="3055" w:type="dxa"/>
            <w:vMerge/>
          </w:tcPr>
          <w:p w14:paraId="7379F8D6" w14:textId="77777777" w:rsidR="00D76AFA" w:rsidRPr="00903EBE" w:rsidRDefault="00D76AFA" w:rsidP="0094070A">
            <w:pPr>
              <w:rPr>
                <w:rFonts w:ascii="Arial" w:hAnsi="Arial" w:cs="Arial"/>
                <w:sz w:val="22"/>
                <w:szCs w:val="22"/>
              </w:rPr>
            </w:pPr>
          </w:p>
        </w:tc>
        <w:tc>
          <w:tcPr>
            <w:tcW w:w="4770" w:type="dxa"/>
          </w:tcPr>
          <w:p w14:paraId="24633995" w14:textId="704B581A" w:rsidR="00D76AFA" w:rsidRDefault="00D76AFA" w:rsidP="00D76AFA">
            <w:pPr>
              <w:ind w:left="360" w:hanging="360"/>
              <w:rPr>
                <w:rFonts w:ascii="Arial" w:hAnsi="Arial" w:cs="Arial"/>
                <w:sz w:val="22"/>
                <w:szCs w:val="22"/>
              </w:rPr>
            </w:pPr>
            <w:r w:rsidRPr="00903EBE">
              <w:rPr>
                <w:rFonts w:ascii="Arial" w:hAnsi="Arial" w:cs="Arial"/>
                <w:sz w:val="22"/>
                <w:szCs w:val="22"/>
              </w:rPr>
              <w:t xml:space="preserve">1.4 Contractor will ensure that the most recent version of </w:t>
            </w:r>
            <w:r w:rsidR="00CE6C73">
              <w:rPr>
                <w:rFonts w:ascii="Arial" w:hAnsi="Arial" w:cs="Arial"/>
                <w:sz w:val="22"/>
                <w:szCs w:val="22"/>
              </w:rPr>
              <w:t>the AIDS Institute Reporting System (</w:t>
            </w:r>
            <w:r w:rsidRPr="00903EBE">
              <w:rPr>
                <w:rFonts w:ascii="Arial" w:hAnsi="Arial" w:cs="Arial"/>
                <w:sz w:val="22"/>
                <w:szCs w:val="22"/>
              </w:rPr>
              <w:t>AIRS</w:t>
            </w:r>
            <w:r w:rsidR="00CE6C73">
              <w:rPr>
                <w:rFonts w:ascii="Arial" w:hAnsi="Arial" w:cs="Arial"/>
                <w:sz w:val="22"/>
                <w:szCs w:val="22"/>
              </w:rPr>
              <w:t>)</w:t>
            </w:r>
            <w:r w:rsidRPr="00903EBE">
              <w:rPr>
                <w:rFonts w:ascii="Arial" w:hAnsi="Arial" w:cs="Arial"/>
                <w:sz w:val="22"/>
                <w:szCs w:val="22"/>
              </w:rPr>
              <w:t xml:space="preserve"> is maintained. Adequate resources will be made available for data entry and management, including the development and maintenance of an AIRS back-up system. </w:t>
            </w:r>
          </w:p>
          <w:p w14:paraId="657CCE13" w14:textId="5E3B4F6F" w:rsidR="00D76AFA" w:rsidRPr="00903EBE" w:rsidRDefault="00D76AFA" w:rsidP="00D76AFA">
            <w:pPr>
              <w:ind w:left="360" w:hanging="360"/>
              <w:rPr>
                <w:rFonts w:ascii="Arial" w:hAnsi="Arial" w:cs="Arial"/>
                <w:sz w:val="22"/>
                <w:szCs w:val="22"/>
              </w:rPr>
            </w:pPr>
          </w:p>
        </w:tc>
        <w:tc>
          <w:tcPr>
            <w:tcW w:w="5850" w:type="dxa"/>
          </w:tcPr>
          <w:p w14:paraId="42D74ECC" w14:textId="1252694C" w:rsidR="00D76AFA" w:rsidRPr="00903EBE" w:rsidRDefault="00D76AFA" w:rsidP="00D76AFA">
            <w:pPr>
              <w:ind w:left="504" w:hanging="504"/>
              <w:rPr>
                <w:rFonts w:ascii="Arial" w:hAnsi="Arial" w:cs="Arial"/>
                <w:sz w:val="22"/>
                <w:szCs w:val="22"/>
              </w:rPr>
            </w:pPr>
            <w:r w:rsidRPr="00903EBE">
              <w:rPr>
                <w:rFonts w:ascii="Arial" w:hAnsi="Arial" w:cs="Arial"/>
                <w:sz w:val="22"/>
                <w:szCs w:val="22"/>
              </w:rPr>
              <w:t>1.4.1 Contractor will submit 100% of all monthly AIRS data extracts and narrative reports (using the prescribed template) adhering to established timeframes.</w:t>
            </w:r>
          </w:p>
          <w:p w14:paraId="58F6B343" w14:textId="77777777" w:rsidR="00D76AFA" w:rsidRPr="00903EBE" w:rsidRDefault="00D76AFA" w:rsidP="00D76AFA">
            <w:pPr>
              <w:ind w:left="504" w:hanging="504"/>
              <w:rPr>
                <w:rFonts w:ascii="Arial" w:hAnsi="Arial" w:cs="Arial"/>
                <w:sz w:val="22"/>
                <w:szCs w:val="22"/>
              </w:rPr>
            </w:pPr>
          </w:p>
        </w:tc>
      </w:tr>
      <w:tr w:rsidR="00D76AFA" w:rsidRPr="00135CC9" w14:paraId="1AC4638E" w14:textId="77777777" w:rsidTr="00D76AFA">
        <w:trPr>
          <w:trHeight w:val="230"/>
        </w:trPr>
        <w:tc>
          <w:tcPr>
            <w:tcW w:w="3055" w:type="dxa"/>
            <w:vMerge/>
          </w:tcPr>
          <w:p w14:paraId="1360759B" w14:textId="77777777" w:rsidR="00D76AFA" w:rsidRPr="00903EBE" w:rsidRDefault="00D76AFA" w:rsidP="0094070A">
            <w:pPr>
              <w:rPr>
                <w:rFonts w:ascii="Arial" w:hAnsi="Arial" w:cs="Arial"/>
                <w:sz w:val="22"/>
                <w:szCs w:val="22"/>
              </w:rPr>
            </w:pPr>
          </w:p>
        </w:tc>
        <w:tc>
          <w:tcPr>
            <w:tcW w:w="4770" w:type="dxa"/>
          </w:tcPr>
          <w:p w14:paraId="1A3429FB" w14:textId="40971DD9" w:rsidR="00D76AFA" w:rsidRDefault="00D76AFA" w:rsidP="00D76AFA">
            <w:pPr>
              <w:ind w:left="360" w:hanging="360"/>
              <w:rPr>
                <w:rFonts w:ascii="Arial" w:hAnsi="Arial" w:cs="Arial"/>
                <w:sz w:val="22"/>
                <w:szCs w:val="22"/>
              </w:rPr>
            </w:pPr>
            <w:r w:rsidRPr="00903EBE">
              <w:rPr>
                <w:rFonts w:ascii="Arial" w:hAnsi="Arial" w:cs="Arial"/>
                <w:sz w:val="22"/>
                <w:szCs w:val="22"/>
              </w:rPr>
              <w:t xml:space="preserve">1.5 Contractor will document all </w:t>
            </w:r>
            <w:r w:rsidR="004270ED" w:rsidRPr="00903EBE">
              <w:rPr>
                <w:rFonts w:ascii="Arial" w:hAnsi="Arial" w:cs="Arial"/>
                <w:color w:val="000000"/>
                <w:sz w:val="22"/>
                <w:szCs w:val="22"/>
              </w:rPr>
              <w:t xml:space="preserve">Centers for Young Adults </w:t>
            </w:r>
            <w:r w:rsidR="004270ED">
              <w:rPr>
                <w:rFonts w:ascii="Arial" w:hAnsi="Arial" w:cs="Arial"/>
                <w:color w:val="000000"/>
                <w:sz w:val="22"/>
                <w:szCs w:val="22"/>
              </w:rPr>
              <w:t>(</w:t>
            </w:r>
            <w:r w:rsidRPr="00903EBE">
              <w:rPr>
                <w:rFonts w:ascii="Arial" w:hAnsi="Arial" w:cs="Arial"/>
                <w:sz w:val="22"/>
                <w:szCs w:val="22"/>
              </w:rPr>
              <w:t>CYA</w:t>
            </w:r>
            <w:r w:rsidR="004270ED">
              <w:rPr>
                <w:rFonts w:ascii="Arial" w:hAnsi="Arial" w:cs="Arial"/>
                <w:sz w:val="22"/>
                <w:szCs w:val="22"/>
              </w:rPr>
              <w:t>)</w:t>
            </w:r>
            <w:r w:rsidRPr="00903EBE">
              <w:rPr>
                <w:rFonts w:ascii="Arial" w:hAnsi="Arial" w:cs="Arial"/>
                <w:sz w:val="22"/>
                <w:szCs w:val="22"/>
              </w:rPr>
              <w:t xml:space="preserve"> services in the patient’s medical record and in </w:t>
            </w:r>
            <w:r w:rsidR="00452D8A">
              <w:rPr>
                <w:rFonts w:ascii="Arial" w:hAnsi="Arial" w:cs="Arial"/>
                <w:sz w:val="22"/>
                <w:szCs w:val="22"/>
              </w:rPr>
              <w:t xml:space="preserve">the </w:t>
            </w:r>
            <w:r w:rsidRPr="00903EBE">
              <w:rPr>
                <w:rFonts w:ascii="Arial" w:hAnsi="Arial" w:cs="Arial"/>
                <w:sz w:val="22"/>
                <w:szCs w:val="22"/>
              </w:rPr>
              <w:t>AI</w:t>
            </w:r>
            <w:r w:rsidR="00C65E11">
              <w:rPr>
                <w:rFonts w:ascii="Arial" w:hAnsi="Arial" w:cs="Arial"/>
                <w:sz w:val="22"/>
                <w:szCs w:val="22"/>
              </w:rPr>
              <w:t>DS Institute</w:t>
            </w:r>
            <w:r w:rsidRPr="00903EBE">
              <w:rPr>
                <w:rFonts w:ascii="Arial" w:hAnsi="Arial" w:cs="Arial"/>
                <w:sz w:val="22"/>
                <w:szCs w:val="22"/>
              </w:rPr>
              <w:t xml:space="preserve"> Reporting System. AIRS reports will be reviewed by supervisory staff monthly to ensure accuracy and completeness, prior to submission.</w:t>
            </w:r>
          </w:p>
          <w:p w14:paraId="081ABD50" w14:textId="7E9E4E70" w:rsidR="00D76AFA" w:rsidRPr="00903EBE" w:rsidRDefault="00D76AFA" w:rsidP="00D76AFA">
            <w:pPr>
              <w:ind w:left="360" w:hanging="360"/>
              <w:rPr>
                <w:rFonts w:ascii="Arial" w:hAnsi="Arial" w:cs="Arial"/>
                <w:sz w:val="22"/>
                <w:szCs w:val="22"/>
              </w:rPr>
            </w:pPr>
          </w:p>
        </w:tc>
        <w:tc>
          <w:tcPr>
            <w:tcW w:w="5850" w:type="dxa"/>
          </w:tcPr>
          <w:p w14:paraId="388D6E27" w14:textId="32837A9E" w:rsidR="00D76AFA" w:rsidRPr="00903EBE" w:rsidRDefault="00D76AFA" w:rsidP="00D76AFA">
            <w:pPr>
              <w:ind w:left="504" w:hanging="504"/>
              <w:rPr>
                <w:rFonts w:ascii="Arial" w:hAnsi="Arial" w:cs="Arial"/>
                <w:sz w:val="22"/>
                <w:szCs w:val="22"/>
              </w:rPr>
            </w:pPr>
            <w:r w:rsidRPr="00903EBE">
              <w:rPr>
                <w:rFonts w:ascii="Arial" w:hAnsi="Arial" w:cs="Arial"/>
                <w:sz w:val="22"/>
                <w:szCs w:val="22"/>
              </w:rPr>
              <w:t>1.5.1 100% of program services will be entered in the patient’s medical record and in AIRS. Adherence will be monitored through quarterly reports sent to the contract manager by the Division Data Unit.</w:t>
            </w:r>
          </w:p>
        </w:tc>
      </w:tr>
      <w:tr w:rsidR="00D76AFA" w:rsidRPr="00135CC9" w14:paraId="5C7CCFFC" w14:textId="77777777" w:rsidTr="00D76AFA">
        <w:trPr>
          <w:trHeight w:val="230"/>
        </w:trPr>
        <w:tc>
          <w:tcPr>
            <w:tcW w:w="3055" w:type="dxa"/>
            <w:vMerge/>
          </w:tcPr>
          <w:p w14:paraId="7B2C0A09" w14:textId="77777777" w:rsidR="00D76AFA" w:rsidRPr="00903EBE" w:rsidRDefault="00D76AFA" w:rsidP="0094070A">
            <w:pPr>
              <w:rPr>
                <w:rFonts w:ascii="Arial" w:hAnsi="Arial" w:cs="Arial"/>
                <w:sz w:val="22"/>
                <w:szCs w:val="22"/>
              </w:rPr>
            </w:pPr>
          </w:p>
        </w:tc>
        <w:tc>
          <w:tcPr>
            <w:tcW w:w="4770" w:type="dxa"/>
          </w:tcPr>
          <w:p w14:paraId="4D33679F" w14:textId="24CB7E29"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1.6 Contractors will hire appropriate and </w:t>
            </w:r>
            <w:r w:rsidRPr="00903EBE">
              <w:rPr>
                <w:rFonts w:ascii="Arial" w:hAnsi="Arial" w:cs="Arial"/>
                <w:sz w:val="22"/>
                <w:szCs w:val="22"/>
              </w:rPr>
              <w:lastRenderedPageBreak/>
              <w:t>qualified personnel to perform the functions required under the contract. Changes in program staff (hiring, terminations, etc.) will be documented in monthly reports and discussed with the contract manager</w:t>
            </w:r>
            <w:r>
              <w:rPr>
                <w:rFonts w:ascii="Arial" w:hAnsi="Arial" w:cs="Arial"/>
                <w:sz w:val="22"/>
                <w:szCs w:val="22"/>
              </w:rPr>
              <w:t>.</w:t>
            </w:r>
          </w:p>
          <w:p w14:paraId="481B105C" w14:textId="77777777" w:rsidR="00D76AFA" w:rsidRPr="00903EBE" w:rsidRDefault="00D76AFA" w:rsidP="00D76AFA">
            <w:pPr>
              <w:ind w:left="360" w:hanging="360"/>
              <w:rPr>
                <w:rFonts w:ascii="Arial" w:hAnsi="Arial" w:cs="Arial"/>
                <w:sz w:val="22"/>
                <w:szCs w:val="22"/>
              </w:rPr>
            </w:pPr>
          </w:p>
        </w:tc>
        <w:tc>
          <w:tcPr>
            <w:tcW w:w="5850" w:type="dxa"/>
          </w:tcPr>
          <w:p w14:paraId="6EE90FD0"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lastRenderedPageBreak/>
              <w:t xml:space="preserve">1.6.1 Contractors will provide evidence that staff meet </w:t>
            </w:r>
            <w:r w:rsidRPr="00903EBE">
              <w:rPr>
                <w:rFonts w:ascii="Arial" w:hAnsi="Arial" w:cs="Arial"/>
                <w:sz w:val="22"/>
                <w:szCs w:val="22"/>
              </w:rPr>
              <w:lastRenderedPageBreak/>
              <w:t>relevant qualifications, and that coverage is maintained through the submission of monthly reports, ongoing communication with the contract manager, and during program monitoring reviews.</w:t>
            </w:r>
          </w:p>
        </w:tc>
      </w:tr>
      <w:tr w:rsidR="00D76AFA" w:rsidRPr="00135CC9" w14:paraId="0549D4E9" w14:textId="77777777" w:rsidTr="00D76AFA">
        <w:trPr>
          <w:trHeight w:val="230"/>
        </w:trPr>
        <w:tc>
          <w:tcPr>
            <w:tcW w:w="3055" w:type="dxa"/>
            <w:vMerge/>
          </w:tcPr>
          <w:p w14:paraId="3B43D3AF" w14:textId="77777777" w:rsidR="00D76AFA" w:rsidRPr="00903EBE" w:rsidRDefault="00D76AFA" w:rsidP="0094070A">
            <w:pPr>
              <w:rPr>
                <w:rFonts w:ascii="Arial" w:hAnsi="Arial" w:cs="Arial"/>
                <w:sz w:val="22"/>
                <w:szCs w:val="22"/>
              </w:rPr>
            </w:pPr>
          </w:p>
        </w:tc>
        <w:tc>
          <w:tcPr>
            <w:tcW w:w="4770" w:type="dxa"/>
          </w:tcPr>
          <w:p w14:paraId="4BE374CB" w14:textId="26B5E175"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1.7 Participate in Regional </w:t>
            </w:r>
            <w:r w:rsidR="008815C7">
              <w:rPr>
                <w:rFonts w:ascii="Arial" w:hAnsi="Arial" w:cs="Arial"/>
                <w:sz w:val="22"/>
                <w:szCs w:val="22"/>
              </w:rPr>
              <w:t>Ending the Epidemic (</w:t>
            </w:r>
            <w:r w:rsidRPr="00903EBE">
              <w:rPr>
                <w:rFonts w:ascii="Arial" w:hAnsi="Arial" w:cs="Arial"/>
                <w:sz w:val="22"/>
                <w:szCs w:val="22"/>
              </w:rPr>
              <w:t>ETE</w:t>
            </w:r>
            <w:r w:rsidR="008815C7">
              <w:rPr>
                <w:rFonts w:ascii="Arial" w:hAnsi="Arial" w:cs="Arial"/>
                <w:sz w:val="22"/>
                <w:szCs w:val="22"/>
              </w:rPr>
              <w:t>)</w:t>
            </w:r>
            <w:r w:rsidRPr="00903EBE">
              <w:rPr>
                <w:rFonts w:ascii="Arial" w:hAnsi="Arial" w:cs="Arial"/>
                <w:sz w:val="22"/>
                <w:szCs w:val="22"/>
              </w:rPr>
              <w:t>, NY Links, and community meetings to remain abreast of developing strategies and provide agency feedback.</w:t>
            </w:r>
          </w:p>
          <w:p w14:paraId="70046E74" w14:textId="77777777" w:rsidR="00D76AFA" w:rsidRPr="00903EBE" w:rsidRDefault="00D76AFA" w:rsidP="00D76AFA">
            <w:pPr>
              <w:ind w:left="360" w:hanging="360"/>
              <w:rPr>
                <w:rFonts w:ascii="Arial" w:hAnsi="Arial" w:cs="Arial"/>
                <w:sz w:val="22"/>
                <w:szCs w:val="22"/>
              </w:rPr>
            </w:pPr>
          </w:p>
        </w:tc>
        <w:tc>
          <w:tcPr>
            <w:tcW w:w="5850" w:type="dxa"/>
          </w:tcPr>
          <w:p w14:paraId="400A149E" w14:textId="77777777" w:rsidR="00D76AFA" w:rsidRPr="00903EBE" w:rsidRDefault="00D76AFA" w:rsidP="00D76AFA">
            <w:pPr>
              <w:tabs>
                <w:tab w:val="left" w:pos="810"/>
              </w:tabs>
              <w:ind w:left="504" w:hanging="504"/>
              <w:rPr>
                <w:rFonts w:ascii="Arial" w:hAnsi="Arial" w:cs="Arial"/>
                <w:sz w:val="22"/>
                <w:szCs w:val="22"/>
              </w:rPr>
            </w:pPr>
            <w:r w:rsidRPr="00903EBE">
              <w:rPr>
                <w:rFonts w:ascii="Arial" w:hAnsi="Arial" w:cs="Arial"/>
                <w:sz w:val="22"/>
                <w:szCs w:val="22"/>
              </w:rPr>
              <w:t>1.7.1 Participation is maintained at community meetings at least quarterly.</w:t>
            </w:r>
          </w:p>
        </w:tc>
      </w:tr>
      <w:tr w:rsidR="00D76AFA" w:rsidRPr="00135CC9" w14:paraId="3C244FDF" w14:textId="77777777" w:rsidTr="00D76AFA">
        <w:trPr>
          <w:trHeight w:val="230"/>
        </w:trPr>
        <w:tc>
          <w:tcPr>
            <w:tcW w:w="3055" w:type="dxa"/>
            <w:vMerge/>
          </w:tcPr>
          <w:p w14:paraId="7C7993E1" w14:textId="77777777" w:rsidR="00D76AFA" w:rsidRPr="00903EBE" w:rsidRDefault="00D76AFA" w:rsidP="0094070A">
            <w:pPr>
              <w:rPr>
                <w:rFonts w:ascii="Arial" w:hAnsi="Arial" w:cs="Arial"/>
                <w:sz w:val="22"/>
                <w:szCs w:val="22"/>
              </w:rPr>
            </w:pPr>
          </w:p>
        </w:tc>
        <w:tc>
          <w:tcPr>
            <w:tcW w:w="4770" w:type="dxa"/>
          </w:tcPr>
          <w:p w14:paraId="15107B50" w14:textId="77777777" w:rsidR="00D76AFA" w:rsidRDefault="00D76AFA" w:rsidP="00D76AFA">
            <w:pPr>
              <w:ind w:left="360" w:hanging="360"/>
              <w:rPr>
                <w:rFonts w:ascii="Arial" w:hAnsi="Arial" w:cs="Arial"/>
                <w:sz w:val="22"/>
                <w:szCs w:val="22"/>
              </w:rPr>
            </w:pPr>
            <w:r w:rsidRPr="00903EBE">
              <w:rPr>
                <w:rFonts w:ascii="Arial" w:hAnsi="Arial" w:cs="Arial"/>
                <w:sz w:val="22"/>
                <w:szCs w:val="22"/>
              </w:rPr>
              <w:t>1.8 Establish agency and program systems to implement the Initiative Program Standards.</w:t>
            </w:r>
          </w:p>
          <w:p w14:paraId="15E422FE" w14:textId="0092A6AA" w:rsidR="00D76AFA" w:rsidRPr="00903EBE" w:rsidRDefault="00D76AFA" w:rsidP="00D76AFA">
            <w:pPr>
              <w:ind w:left="360" w:hanging="360"/>
              <w:rPr>
                <w:rFonts w:ascii="Arial" w:hAnsi="Arial" w:cs="Arial"/>
                <w:sz w:val="22"/>
                <w:szCs w:val="22"/>
              </w:rPr>
            </w:pPr>
          </w:p>
        </w:tc>
        <w:tc>
          <w:tcPr>
            <w:tcW w:w="5850" w:type="dxa"/>
          </w:tcPr>
          <w:p w14:paraId="7FDC4AE5"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t>1.8.1 Programs adhere to the current Initiative Program Standards.</w:t>
            </w:r>
          </w:p>
        </w:tc>
      </w:tr>
      <w:tr w:rsidR="00D76AFA" w:rsidRPr="00135CC9" w14:paraId="28971834" w14:textId="77777777" w:rsidTr="00D76AFA">
        <w:trPr>
          <w:trHeight w:val="467"/>
        </w:trPr>
        <w:tc>
          <w:tcPr>
            <w:tcW w:w="3055" w:type="dxa"/>
            <w:shd w:val="clear" w:color="auto" w:fill="FFE599" w:themeFill="accent4" w:themeFillTint="66"/>
          </w:tcPr>
          <w:p w14:paraId="5818FD52" w14:textId="5E7518BF" w:rsidR="00D76AFA" w:rsidRPr="00903EBE" w:rsidRDefault="00D76AFA" w:rsidP="0094070A">
            <w:pPr>
              <w:jc w:val="center"/>
              <w:rPr>
                <w:rFonts w:ascii="Arial" w:hAnsi="Arial" w:cs="Arial"/>
                <w:sz w:val="22"/>
                <w:szCs w:val="22"/>
              </w:rPr>
            </w:pPr>
            <w:r w:rsidRPr="00903EBE">
              <w:rPr>
                <w:rFonts w:ascii="Arial" w:hAnsi="Arial" w:cs="Arial"/>
                <w:sz w:val="22"/>
                <w:szCs w:val="22"/>
              </w:rPr>
              <w:t>OBJECTIVE</w:t>
            </w:r>
          </w:p>
        </w:tc>
        <w:tc>
          <w:tcPr>
            <w:tcW w:w="4770" w:type="dxa"/>
            <w:shd w:val="clear" w:color="auto" w:fill="FFE599" w:themeFill="accent4" w:themeFillTint="66"/>
          </w:tcPr>
          <w:p w14:paraId="01BD41AA" w14:textId="77777777" w:rsidR="00D76AFA" w:rsidRPr="00903EBE" w:rsidRDefault="00D76AFA" w:rsidP="0094070A">
            <w:pPr>
              <w:jc w:val="center"/>
              <w:rPr>
                <w:rFonts w:ascii="Arial" w:hAnsi="Arial" w:cs="Arial"/>
                <w:sz w:val="22"/>
                <w:szCs w:val="22"/>
              </w:rPr>
            </w:pPr>
            <w:r w:rsidRPr="00903EBE">
              <w:rPr>
                <w:rFonts w:ascii="Arial" w:hAnsi="Arial" w:cs="Arial"/>
                <w:sz w:val="22"/>
                <w:szCs w:val="22"/>
              </w:rPr>
              <w:t>TASKS</w:t>
            </w:r>
          </w:p>
        </w:tc>
        <w:tc>
          <w:tcPr>
            <w:tcW w:w="5850" w:type="dxa"/>
            <w:shd w:val="clear" w:color="auto" w:fill="FFE599" w:themeFill="accent4" w:themeFillTint="66"/>
          </w:tcPr>
          <w:p w14:paraId="24D13ED1" w14:textId="4D4331F9" w:rsidR="00D76AFA" w:rsidRPr="00903EBE" w:rsidRDefault="00D76AFA" w:rsidP="00D76AFA">
            <w:pPr>
              <w:ind w:left="504" w:hanging="504"/>
              <w:jc w:val="center"/>
              <w:rPr>
                <w:rFonts w:ascii="Arial" w:hAnsi="Arial" w:cs="Arial"/>
                <w:sz w:val="22"/>
                <w:szCs w:val="22"/>
              </w:rPr>
            </w:pPr>
            <w:r w:rsidRPr="00903EBE">
              <w:rPr>
                <w:rFonts w:ascii="Arial" w:hAnsi="Arial" w:cs="Arial"/>
                <w:sz w:val="22"/>
                <w:szCs w:val="22"/>
              </w:rPr>
              <w:t>PERFORMANCE MEASURES</w:t>
            </w:r>
          </w:p>
        </w:tc>
      </w:tr>
      <w:tr w:rsidR="00D76AFA" w:rsidRPr="00135CC9" w14:paraId="608B46F8" w14:textId="77777777" w:rsidTr="00D76AFA">
        <w:trPr>
          <w:trHeight w:val="692"/>
        </w:trPr>
        <w:tc>
          <w:tcPr>
            <w:tcW w:w="3055" w:type="dxa"/>
            <w:vMerge w:val="restart"/>
          </w:tcPr>
          <w:p w14:paraId="47884713" w14:textId="178FD505" w:rsidR="00D76AFA" w:rsidRPr="00903EBE" w:rsidRDefault="00D76AFA" w:rsidP="0094070A">
            <w:pPr>
              <w:rPr>
                <w:rFonts w:ascii="Arial" w:hAnsi="Arial" w:cs="Arial"/>
                <w:sz w:val="22"/>
                <w:szCs w:val="22"/>
              </w:rPr>
            </w:pPr>
            <w:r w:rsidRPr="00903EBE">
              <w:rPr>
                <w:rFonts w:ascii="Arial" w:hAnsi="Arial" w:cs="Arial"/>
                <w:sz w:val="22"/>
                <w:szCs w:val="22"/>
              </w:rPr>
              <w:t xml:space="preserve">2: Improve linkage and retention into HIV clinical care for </w:t>
            </w:r>
            <w:r w:rsidR="008815C7">
              <w:rPr>
                <w:rFonts w:ascii="Arial" w:hAnsi="Arial" w:cs="Arial"/>
                <w:sz w:val="22"/>
                <w:szCs w:val="22"/>
              </w:rPr>
              <w:t>people living with HIV/AIDS (</w:t>
            </w:r>
            <w:r w:rsidRPr="00903EBE">
              <w:rPr>
                <w:rFonts w:ascii="Arial" w:hAnsi="Arial" w:cs="Arial"/>
                <w:sz w:val="22"/>
                <w:szCs w:val="22"/>
              </w:rPr>
              <w:t>PLWH</w:t>
            </w:r>
            <w:r w:rsidR="00452D8A">
              <w:rPr>
                <w:rFonts w:ascii="Arial" w:hAnsi="Arial" w:cs="Arial"/>
                <w:sz w:val="22"/>
                <w:szCs w:val="22"/>
              </w:rPr>
              <w:t>/</w:t>
            </w:r>
            <w:r w:rsidRPr="00903EBE">
              <w:rPr>
                <w:rFonts w:ascii="Arial" w:hAnsi="Arial" w:cs="Arial"/>
                <w:sz w:val="22"/>
                <w:szCs w:val="22"/>
              </w:rPr>
              <w:t>A</w:t>
            </w:r>
            <w:r w:rsidR="008815C7">
              <w:rPr>
                <w:rFonts w:ascii="Arial" w:hAnsi="Arial" w:cs="Arial"/>
                <w:sz w:val="22"/>
                <w:szCs w:val="22"/>
              </w:rPr>
              <w:t>).</w:t>
            </w:r>
          </w:p>
        </w:tc>
        <w:tc>
          <w:tcPr>
            <w:tcW w:w="4770" w:type="dxa"/>
          </w:tcPr>
          <w:p w14:paraId="0562E04D" w14:textId="258662DC" w:rsidR="00D76AFA" w:rsidRPr="00903EBE" w:rsidRDefault="00D76AFA" w:rsidP="00D76AFA">
            <w:pPr>
              <w:ind w:left="360" w:hanging="360"/>
              <w:rPr>
                <w:rFonts w:ascii="Arial" w:hAnsi="Arial" w:cs="Arial"/>
                <w:sz w:val="22"/>
                <w:szCs w:val="22"/>
              </w:rPr>
            </w:pPr>
            <w:r w:rsidRPr="00903EBE">
              <w:rPr>
                <w:rFonts w:ascii="Arial" w:hAnsi="Arial" w:cs="Arial"/>
                <w:sz w:val="22"/>
                <w:szCs w:val="22"/>
              </w:rPr>
              <w:t>2.1 Develop systems that support expedited engagement, retention in HIV clinical care</w:t>
            </w:r>
            <w:r w:rsidR="00A04D04">
              <w:rPr>
                <w:rFonts w:ascii="Arial" w:hAnsi="Arial" w:cs="Arial"/>
                <w:sz w:val="22"/>
                <w:szCs w:val="22"/>
              </w:rPr>
              <w:t>,</w:t>
            </w:r>
            <w:r w:rsidRPr="00903EBE">
              <w:rPr>
                <w:rFonts w:ascii="Arial" w:hAnsi="Arial" w:cs="Arial"/>
                <w:sz w:val="22"/>
                <w:szCs w:val="22"/>
              </w:rPr>
              <w:t xml:space="preserve"> and adherence to current AIDS Institute Clinical Guidance.</w:t>
            </w:r>
          </w:p>
        </w:tc>
        <w:tc>
          <w:tcPr>
            <w:tcW w:w="5850" w:type="dxa"/>
          </w:tcPr>
          <w:p w14:paraId="65441EB9" w14:textId="3DAD06CE" w:rsidR="00D76AFA" w:rsidRPr="00903EBE" w:rsidRDefault="00D76AFA" w:rsidP="00D76AFA">
            <w:pPr>
              <w:ind w:left="504" w:hanging="504"/>
              <w:rPr>
                <w:rFonts w:ascii="Arial" w:hAnsi="Arial" w:cs="Arial"/>
                <w:sz w:val="22"/>
                <w:szCs w:val="22"/>
              </w:rPr>
            </w:pPr>
            <w:r w:rsidRPr="00903EBE">
              <w:rPr>
                <w:rFonts w:ascii="Arial" w:hAnsi="Arial" w:cs="Arial"/>
                <w:sz w:val="22"/>
                <w:szCs w:val="22"/>
              </w:rPr>
              <w:t xml:space="preserve">2.1.1 Program performance and outcomes will be measured against current </w:t>
            </w:r>
            <w:r w:rsidR="008815C7">
              <w:rPr>
                <w:rFonts w:ascii="Arial" w:hAnsi="Arial" w:cs="Arial"/>
                <w:sz w:val="22"/>
                <w:szCs w:val="22"/>
              </w:rPr>
              <w:t>Ending the Epidemic (</w:t>
            </w:r>
            <w:r w:rsidRPr="00903EBE">
              <w:rPr>
                <w:rFonts w:ascii="Arial" w:hAnsi="Arial" w:cs="Arial"/>
                <w:sz w:val="22"/>
                <w:szCs w:val="22"/>
              </w:rPr>
              <w:t>ETE</w:t>
            </w:r>
            <w:r w:rsidR="008815C7">
              <w:rPr>
                <w:rFonts w:ascii="Arial" w:hAnsi="Arial" w:cs="Arial"/>
                <w:sz w:val="22"/>
                <w:szCs w:val="22"/>
              </w:rPr>
              <w:t>)</w:t>
            </w:r>
            <w:r w:rsidRPr="00903EBE">
              <w:rPr>
                <w:rFonts w:ascii="Arial" w:hAnsi="Arial" w:cs="Arial"/>
                <w:sz w:val="22"/>
                <w:szCs w:val="22"/>
              </w:rPr>
              <w:t xml:space="preserve"> target metrics and performance measures as outlined in the Initiative Program Standards.</w:t>
            </w:r>
          </w:p>
          <w:p w14:paraId="015B9A2B" w14:textId="77777777" w:rsidR="00D76AFA" w:rsidRPr="00903EBE" w:rsidRDefault="00D76AFA" w:rsidP="00D76AFA">
            <w:pPr>
              <w:ind w:left="504" w:hanging="504"/>
              <w:rPr>
                <w:rFonts w:ascii="Arial" w:hAnsi="Arial" w:cs="Arial"/>
                <w:sz w:val="22"/>
                <w:szCs w:val="22"/>
              </w:rPr>
            </w:pPr>
          </w:p>
        </w:tc>
      </w:tr>
      <w:tr w:rsidR="00D76AFA" w:rsidRPr="00135CC9" w14:paraId="33CD9A51" w14:textId="77777777" w:rsidTr="00D76AFA">
        <w:trPr>
          <w:trHeight w:val="230"/>
        </w:trPr>
        <w:tc>
          <w:tcPr>
            <w:tcW w:w="3055" w:type="dxa"/>
            <w:vMerge/>
          </w:tcPr>
          <w:p w14:paraId="5A2E7DF5" w14:textId="77777777" w:rsidR="00D76AFA" w:rsidRPr="00903EBE" w:rsidRDefault="00D76AFA" w:rsidP="0094070A">
            <w:pPr>
              <w:rPr>
                <w:rFonts w:ascii="Arial" w:hAnsi="Arial" w:cs="Arial"/>
                <w:sz w:val="22"/>
                <w:szCs w:val="22"/>
              </w:rPr>
            </w:pPr>
          </w:p>
        </w:tc>
        <w:tc>
          <w:tcPr>
            <w:tcW w:w="4770" w:type="dxa"/>
          </w:tcPr>
          <w:p w14:paraId="76457A10" w14:textId="4BBACB58" w:rsidR="00D76AFA" w:rsidRPr="00903EBE" w:rsidRDefault="00D76AFA" w:rsidP="00D76AFA">
            <w:pPr>
              <w:ind w:left="360" w:hanging="360"/>
              <w:rPr>
                <w:rFonts w:ascii="Arial" w:hAnsi="Arial" w:cs="Arial"/>
                <w:sz w:val="22"/>
                <w:szCs w:val="22"/>
              </w:rPr>
            </w:pPr>
            <w:r w:rsidRPr="00903EBE">
              <w:rPr>
                <w:rFonts w:ascii="Arial" w:hAnsi="Arial" w:cs="Arial"/>
                <w:sz w:val="22"/>
                <w:szCs w:val="22"/>
              </w:rPr>
              <w:t>2.2 Coordinate and monitor medical treatment, interventions</w:t>
            </w:r>
            <w:r w:rsidR="00A04D04">
              <w:rPr>
                <w:rFonts w:ascii="Arial" w:hAnsi="Arial" w:cs="Arial"/>
                <w:sz w:val="22"/>
                <w:szCs w:val="22"/>
              </w:rPr>
              <w:t>,</w:t>
            </w:r>
            <w:r w:rsidRPr="00903EBE">
              <w:rPr>
                <w:rFonts w:ascii="Arial" w:hAnsi="Arial" w:cs="Arial"/>
                <w:sz w:val="22"/>
                <w:szCs w:val="22"/>
              </w:rPr>
              <w:t xml:space="preserve"> and supportive services to ensure adherence to HIV/AIDS treatment and viral load suppression to improve health outcomes.</w:t>
            </w:r>
          </w:p>
          <w:p w14:paraId="6268AFEC" w14:textId="77777777" w:rsidR="00D76AFA" w:rsidRPr="00903EBE" w:rsidRDefault="00D76AFA" w:rsidP="00D76AFA">
            <w:pPr>
              <w:ind w:left="360" w:hanging="360"/>
              <w:rPr>
                <w:rFonts w:ascii="Arial" w:hAnsi="Arial" w:cs="Arial"/>
                <w:sz w:val="22"/>
                <w:szCs w:val="22"/>
              </w:rPr>
            </w:pPr>
          </w:p>
        </w:tc>
        <w:tc>
          <w:tcPr>
            <w:tcW w:w="5850" w:type="dxa"/>
          </w:tcPr>
          <w:p w14:paraId="43322FB2" w14:textId="0AE7D584" w:rsidR="00D76AFA" w:rsidRPr="00903EBE" w:rsidRDefault="00D76AFA" w:rsidP="00D76AFA">
            <w:pPr>
              <w:ind w:left="504" w:hanging="504"/>
              <w:rPr>
                <w:rFonts w:ascii="Arial" w:hAnsi="Arial" w:cs="Arial"/>
                <w:sz w:val="22"/>
                <w:szCs w:val="22"/>
              </w:rPr>
            </w:pPr>
            <w:r w:rsidRPr="00903EBE">
              <w:rPr>
                <w:rFonts w:ascii="Arial" w:hAnsi="Arial" w:cs="Arial"/>
                <w:sz w:val="22"/>
                <w:szCs w:val="22"/>
              </w:rPr>
              <w:t xml:space="preserve">2.2.1 Program performance metrics will be measured against </w:t>
            </w:r>
            <w:r w:rsidR="008815C7">
              <w:rPr>
                <w:rFonts w:ascii="Arial" w:hAnsi="Arial" w:cs="Arial"/>
                <w:sz w:val="22"/>
                <w:szCs w:val="22"/>
              </w:rPr>
              <w:t>Ending the Epidemic (</w:t>
            </w:r>
            <w:r w:rsidRPr="00903EBE">
              <w:rPr>
                <w:rFonts w:ascii="Arial" w:hAnsi="Arial" w:cs="Arial"/>
                <w:sz w:val="22"/>
                <w:szCs w:val="22"/>
              </w:rPr>
              <w:t>ETE</w:t>
            </w:r>
            <w:r w:rsidR="008815C7">
              <w:rPr>
                <w:rFonts w:ascii="Arial" w:hAnsi="Arial" w:cs="Arial"/>
                <w:sz w:val="22"/>
                <w:szCs w:val="22"/>
              </w:rPr>
              <w:t>)</w:t>
            </w:r>
            <w:r w:rsidRPr="00903EBE">
              <w:rPr>
                <w:rFonts w:ascii="Arial" w:hAnsi="Arial" w:cs="Arial"/>
                <w:sz w:val="22"/>
                <w:szCs w:val="22"/>
              </w:rPr>
              <w:t xml:space="preserve"> target metrics for linkage to care, receipt of HIV medical care, viral load suppression,</w:t>
            </w:r>
            <w:r w:rsidR="00DC09BB">
              <w:rPr>
                <w:rFonts w:ascii="Arial" w:hAnsi="Arial" w:cs="Arial"/>
                <w:sz w:val="22"/>
                <w:szCs w:val="22"/>
              </w:rPr>
              <w:t xml:space="preserve"> rapid initiation of ARVs (</w:t>
            </w:r>
            <w:r w:rsidRPr="00903EBE">
              <w:rPr>
                <w:rFonts w:ascii="Arial" w:hAnsi="Arial" w:cs="Arial"/>
                <w:sz w:val="22"/>
                <w:szCs w:val="22"/>
              </w:rPr>
              <w:t>RIA</w:t>
            </w:r>
            <w:r w:rsidR="00DC09BB">
              <w:rPr>
                <w:rFonts w:ascii="Arial" w:hAnsi="Arial" w:cs="Arial"/>
                <w:sz w:val="22"/>
                <w:szCs w:val="22"/>
              </w:rPr>
              <w:t>),</w:t>
            </w:r>
            <w:r w:rsidRPr="00903EBE">
              <w:rPr>
                <w:rFonts w:ascii="Arial" w:hAnsi="Arial" w:cs="Arial"/>
                <w:sz w:val="22"/>
                <w:szCs w:val="22"/>
              </w:rPr>
              <w:t xml:space="preserve"> and adherence to 100% of the performance measures outline in the Initiative Program Standards.</w:t>
            </w:r>
          </w:p>
        </w:tc>
      </w:tr>
      <w:tr w:rsidR="00D76AFA" w:rsidRPr="00135CC9" w14:paraId="0A3ABAE1" w14:textId="77777777" w:rsidTr="00D76AFA">
        <w:trPr>
          <w:trHeight w:val="962"/>
        </w:trPr>
        <w:tc>
          <w:tcPr>
            <w:tcW w:w="3055" w:type="dxa"/>
            <w:shd w:val="clear" w:color="auto" w:fill="FFE599" w:themeFill="accent4" w:themeFillTint="66"/>
          </w:tcPr>
          <w:p w14:paraId="71A5DE2E" w14:textId="5B797B1E" w:rsidR="00D76AFA" w:rsidRPr="00903EBE" w:rsidRDefault="00D76AFA" w:rsidP="0094070A">
            <w:pPr>
              <w:jc w:val="center"/>
              <w:rPr>
                <w:rFonts w:ascii="Arial" w:hAnsi="Arial" w:cs="Arial"/>
                <w:sz w:val="22"/>
                <w:szCs w:val="22"/>
              </w:rPr>
            </w:pPr>
            <w:r w:rsidRPr="00903EBE">
              <w:rPr>
                <w:rFonts w:ascii="Arial" w:hAnsi="Arial" w:cs="Arial"/>
                <w:sz w:val="22"/>
                <w:szCs w:val="22"/>
              </w:rPr>
              <w:t>OBJECTIVE</w:t>
            </w:r>
          </w:p>
        </w:tc>
        <w:tc>
          <w:tcPr>
            <w:tcW w:w="4770" w:type="dxa"/>
            <w:shd w:val="clear" w:color="auto" w:fill="FFE599" w:themeFill="accent4" w:themeFillTint="66"/>
          </w:tcPr>
          <w:p w14:paraId="26725971" w14:textId="7F6ED9BB" w:rsidR="00D76AFA" w:rsidRPr="00903EBE" w:rsidRDefault="00D76AFA" w:rsidP="00D76AFA">
            <w:pPr>
              <w:ind w:left="360" w:hanging="360"/>
              <w:jc w:val="center"/>
              <w:rPr>
                <w:rFonts w:ascii="Arial" w:hAnsi="Arial" w:cs="Arial"/>
                <w:sz w:val="22"/>
                <w:szCs w:val="22"/>
              </w:rPr>
            </w:pPr>
            <w:r w:rsidRPr="00903EBE">
              <w:rPr>
                <w:rFonts w:ascii="Arial" w:hAnsi="Arial" w:cs="Arial"/>
                <w:sz w:val="22"/>
                <w:szCs w:val="22"/>
              </w:rPr>
              <w:t>TASKS</w:t>
            </w:r>
          </w:p>
        </w:tc>
        <w:tc>
          <w:tcPr>
            <w:tcW w:w="5850" w:type="dxa"/>
            <w:shd w:val="clear" w:color="auto" w:fill="FFE599" w:themeFill="accent4" w:themeFillTint="66"/>
          </w:tcPr>
          <w:p w14:paraId="42FA2DD7" w14:textId="5AA3DD9B" w:rsidR="00D76AFA" w:rsidRPr="00903EBE" w:rsidRDefault="00D76AFA" w:rsidP="00D76AFA">
            <w:pPr>
              <w:ind w:left="504" w:hanging="504"/>
              <w:jc w:val="center"/>
              <w:rPr>
                <w:rFonts w:ascii="Arial" w:hAnsi="Arial" w:cs="Arial"/>
                <w:sz w:val="22"/>
                <w:szCs w:val="22"/>
              </w:rPr>
            </w:pPr>
            <w:r w:rsidRPr="00903EBE">
              <w:rPr>
                <w:rFonts w:ascii="Arial" w:hAnsi="Arial" w:cs="Arial"/>
                <w:sz w:val="22"/>
                <w:szCs w:val="22"/>
              </w:rPr>
              <w:t>PERFORMANCE MEASURES</w:t>
            </w:r>
          </w:p>
        </w:tc>
      </w:tr>
      <w:tr w:rsidR="00D76AFA" w:rsidRPr="00135CC9" w14:paraId="149C8E62" w14:textId="77777777" w:rsidTr="00D76AFA">
        <w:trPr>
          <w:trHeight w:val="998"/>
        </w:trPr>
        <w:tc>
          <w:tcPr>
            <w:tcW w:w="3055" w:type="dxa"/>
            <w:vMerge w:val="restart"/>
          </w:tcPr>
          <w:p w14:paraId="0A20029D" w14:textId="429559AF" w:rsidR="00D76AFA" w:rsidRPr="00903EBE" w:rsidRDefault="00D76AFA" w:rsidP="0094070A">
            <w:pPr>
              <w:rPr>
                <w:rFonts w:ascii="Arial" w:hAnsi="Arial" w:cs="Arial"/>
                <w:sz w:val="22"/>
                <w:szCs w:val="22"/>
              </w:rPr>
            </w:pPr>
            <w:r w:rsidRPr="00903EBE">
              <w:rPr>
                <w:rFonts w:ascii="Arial" w:hAnsi="Arial" w:cs="Arial"/>
                <w:sz w:val="22"/>
                <w:szCs w:val="22"/>
              </w:rPr>
              <w:t xml:space="preserve">3: Identify and address </w:t>
            </w:r>
            <w:r w:rsidR="008815C7" w:rsidRPr="00903EBE">
              <w:rPr>
                <w:rFonts w:ascii="Arial" w:hAnsi="Arial" w:cs="Arial"/>
                <w:bCs/>
                <w:iCs/>
                <w:sz w:val="22"/>
                <w:szCs w:val="22"/>
              </w:rPr>
              <w:t>social determinants of health</w:t>
            </w:r>
            <w:r w:rsidR="008815C7">
              <w:rPr>
                <w:rFonts w:ascii="Arial" w:hAnsi="Arial" w:cs="Arial"/>
                <w:bCs/>
                <w:iCs/>
                <w:sz w:val="22"/>
                <w:szCs w:val="22"/>
              </w:rPr>
              <w:t xml:space="preserve"> </w:t>
            </w:r>
            <w:r w:rsidR="00452D8A">
              <w:rPr>
                <w:rFonts w:ascii="Arial" w:hAnsi="Arial" w:cs="Arial"/>
                <w:sz w:val="22"/>
                <w:szCs w:val="22"/>
              </w:rPr>
              <w:t>-</w:t>
            </w:r>
            <w:r w:rsidRPr="00903EBE">
              <w:rPr>
                <w:rFonts w:ascii="Arial" w:hAnsi="Arial" w:cs="Arial"/>
                <w:sz w:val="22"/>
                <w:szCs w:val="22"/>
              </w:rPr>
              <w:t>related barriers.</w:t>
            </w:r>
          </w:p>
        </w:tc>
        <w:tc>
          <w:tcPr>
            <w:tcW w:w="4770" w:type="dxa"/>
          </w:tcPr>
          <w:p w14:paraId="69BAC02F" w14:textId="224D9B68"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3.1 Establish a system to track the outcomes of referrals for </w:t>
            </w:r>
            <w:r w:rsidR="008815C7" w:rsidRPr="00903EBE">
              <w:rPr>
                <w:rFonts w:ascii="Arial" w:hAnsi="Arial" w:cs="Arial"/>
                <w:bCs/>
                <w:iCs/>
                <w:sz w:val="22"/>
                <w:szCs w:val="22"/>
              </w:rPr>
              <w:t>social determinants of health</w:t>
            </w:r>
            <w:r w:rsidR="00452D8A">
              <w:rPr>
                <w:rFonts w:ascii="Arial" w:hAnsi="Arial" w:cs="Arial"/>
                <w:sz w:val="22"/>
                <w:szCs w:val="22"/>
              </w:rPr>
              <w:t>-</w:t>
            </w:r>
            <w:r w:rsidRPr="00903EBE">
              <w:rPr>
                <w:rFonts w:ascii="Arial" w:hAnsi="Arial" w:cs="Arial"/>
                <w:sz w:val="22"/>
                <w:szCs w:val="22"/>
              </w:rPr>
              <w:t>related services that impact retention and adherence.</w:t>
            </w:r>
          </w:p>
        </w:tc>
        <w:tc>
          <w:tcPr>
            <w:tcW w:w="5850" w:type="dxa"/>
          </w:tcPr>
          <w:p w14:paraId="0AEFBC2C" w14:textId="164FB09D" w:rsidR="00D76AFA" w:rsidRPr="00903EBE" w:rsidRDefault="00D76AFA" w:rsidP="00D76AFA">
            <w:pPr>
              <w:ind w:left="504" w:hanging="504"/>
              <w:rPr>
                <w:rFonts w:ascii="Arial" w:hAnsi="Arial" w:cs="Arial"/>
                <w:sz w:val="22"/>
                <w:szCs w:val="22"/>
              </w:rPr>
            </w:pPr>
            <w:r w:rsidRPr="00903EBE">
              <w:rPr>
                <w:rFonts w:ascii="Arial" w:hAnsi="Arial" w:cs="Arial"/>
                <w:sz w:val="22"/>
                <w:szCs w:val="22"/>
              </w:rPr>
              <w:t xml:space="preserve">3.1.1 Contractor will document and track 100% of all referrals and outcomes in AIRS. Contractor will establish mechanisms to track and report </w:t>
            </w:r>
            <w:r w:rsidR="008815C7" w:rsidRPr="00903EBE">
              <w:rPr>
                <w:rFonts w:ascii="Arial" w:hAnsi="Arial" w:cs="Arial"/>
                <w:bCs/>
                <w:iCs/>
                <w:sz w:val="22"/>
                <w:szCs w:val="22"/>
              </w:rPr>
              <w:t>social determinants of health</w:t>
            </w:r>
            <w:r w:rsidRPr="00903EBE">
              <w:rPr>
                <w:rFonts w:ascii="Arial" w:hAnsi="Arial" w:cs="Arial"/>
                <w:sz w:val="22"/>
                <w:szCs w:val="22"/>
              </w:rPr>
              <w:t xml:space="preserve"> information. Referrals are tracked to completion.</w:t>
            </w:r>
          </w:p>
          <w:p w14:paraId="2A129630" w14:textId="77777777" w:rsidR="00D76AFA" w:rsidRPr="00903EBE" w:rsidRDefault="00D76AFA" w:rsidP="00D76AFA">
            <w:pPr>
              <w:ind w:left="504" w:hanging="504"/>
              <w:rPr>
                <w:rFonts w:ascii="Arial" w:hAnsi="Arial" w:cs="Arial"/>
                <w:sz w:val="22"/>
                <w:szCs w:val="22"/>
              </w:rPr>
            </w:pPr>
          </w:p>
        </w:tc>
      </w:tr>
      <w:tr w:rsidR="00D76AFA" w:rsidRPr="00135CC9" w14:paraId="7892C336" w14:textId="77777777" w:rsidTr="00D76AFA">
        <w:trPr>
          <w:trHeight w:val="1250"/>
        </w:trPr>
        <w:tc>
          <w:tcPr>
            <w:tcW w:w="3055" w:type="dxa"/>
            <w:vMerge/>
          </w:tcPr>
          <w:p w14:paraId="550F0D75" w14:textId="77777777" w:rsidR="00D76AFA" w:rsidRPr="00903EBE" w:rsidRDefault="00D76AFA" w:rsidP="0094070A">
            <w:pPr>
              <w:rPr>
                <w:rFonts w:ascii="Arial" w:hAnsi="Arial" w:cs="Arial"/>
                <w:sz w:val="22"/>
                <w:szCs w:val="22"/>
              </w:rPr>
            </w:pPr>
          </w:p>
        </w:tc>
        <w:tc>
          <w:tcPr>
            <w:tcW w:w="4770" w:type="dxa"/>
          </w:tcPr>
          <w:p w14:paraId="6EA0F024" w14:textId="256893D0" w:rsidR="00D76AFA" w:rsidRPr="00903EBE" w:rsidRDefault="00D76AFA" w:rsidP="00D76AFA">
            <w:pPr>
              <w:ind w:left="360" w:hanging="360"/>
              <w:rPr>
                <w:rFonts w:ascii="Arial" w:hAnsi="Arial" w:cs="Arial"/>
                <w:sz w:val="22"/>
                <w:szCs w:val="22"/>
              </w:rPr>
            </w:pPr>
            <w:r w:rsidRPr="00903EBE">
              <w:rPr>
                <w:rFonts w:ascii="Arial" w:hAnsi="Arial" w:cs="Arial"/>
                <w:sz w:val="22"/>
                <w:szCs w:val="22"/>
              </w:rPr>
              <w:t>3.2 Develop partnerships with service organizations that address</w:t>
            </w:r>
            <w:r w:rsidR="00452D8A">
              <w:rPr>
                <w:rFonts w:ascii="Arial" w:hAnsi="Arial" w:cs="Arial"/>
                <w:sz w:val="22"/>
                <w:szCs w:val="22"/>
              </w:rPr>
              <w:t xml:space="preserve"> social</w:t>
            </w:r>
            <w:r w:rsidRPr="00903EBE">
              <w:rPr>
                <w:rFonts w:ascii="Arial" w:hAnsi="Arial" w:cs="Arial"/>
                <w:sz w:val="22"/>
                <w:szCs w:val="22"/>
              </w:rPr>
              <w:t xml:space="preserve"> determinants of health and support early access to and engagement in HIV care.</w:t>
            </w:r>
          </w:p>
          <w:p w14:paraId="2F298865" w14:textId="77777777" w:rsidR="00D76AFA" w:rsidRPr="00903EBE" w:rsidRDefault="00D76AFA" w:rsidP="00D76AFA">
            <w:pPr>
              <w:ind w:left="360" w:hanging="360"/>
              <w:rPr>
                <w:rFonts w:ascii="Arial" w:hAnsi="Arial" w:cs="Arial"/>
                <w:sz w:val="22"/>
                <w:szCs w:val="22"/>
              </w:rPr>
            </w:pPr>
          </w:p>
        </w:tc>
        <w:tc>
          <w:tcPr>
            <w:tcW w:w="5850" w:type="dxa"/>
          </w:tcPr>
          <w:p w14:paraId="421CA515" w14:textId="7E665ABB" w:rsidR="00D76AFA" w:rsidRPr="00903EBE" w:rsidRDefault="00D76AFA" w:rsidP="00D76AFA">
            <w:pPr>
              <w:ind w:left="504" w:hanging="504"/>
              <w:rPr>
                <w:rFonts w:ascii="Arial" w:hAnsi="Arial" w:cs="Arial"/>
                <w:sz w:val="22"/>
                <w:szCs w:val="22"/>
              </w:rPr>
            </w:pPr>
            <w:r w:rsidRPr="00903EBE">
              <w:rPr>
                <w:rFonts w:ascii="Arial" w:hAnsi="Arial" w:cs="Arial"/>
                <w:sz w:val="22"/>
                <w:szCs w:val="22"/>
              </w:rPr>
              <w:t>3.2.1 Contractors will show evidence of active linkage agreements with partners to address</w:t>
            </w:r>
            <w:r w:rsidR="00452D8A">
              <w:rPr>
                <w:rFonts w:ascii="Arial" w:hAnsi="Arial" w:cs="Arial"/>
                <w:sz w:val="22"/>
                <w:szCs w:val="22"/>
              </w:rPr>
              <w:t xml:space="preserve"> social</w:t>
            </w:r>
            <w:r w:rsidRPr="00903EBE">
              <w:rPr>
                <w:rFonts w:ascii="Arial" w:hAnsi="Arial" w:cs="Arial"/>
                <w:sz w:val="22"/>
                <w:szCs w:val="22"/>
              </w:rPr>
              <w:t xml:space="preserve"> determinants </w:t>
            </w:r>
            <w:r w:rsidR="00452D8A">
              <w:rPr>
                <w:rFonts w:ascii="Arial" w:hAnsi="Arial" w:cs="Arial"/>
                <w:sz w:val="22"/>
                <w:szCs w:val="22"/>
              </w:rPr>
              <w:t xml:space="preserve">of health </w:t>
            </w:r>
            <w:r w:rsidRPr="00903EBE">
              <w:rPr>
                <w:rFonts w:ascii="Arial" w:hAnsi="Arial" w:cs="Arial"/>
                <w:sz w:val="22"/>
                <w:szCs w:val="22"/>
              </w:rPr>
              <w:t xml:space="preserve">and other services needed but not available at the funded locations. </w:t>
            </w:r>
          </w:p>
        </w:tc>
      </w:tr>
      <w:tr w:rsidR="00D76AFA" w:rsidRPr="00135CC9" w14:paraId="7ADA82B1" w14:textId="77777777" w:rsidTr="00D76AFA">
        <w:trPr>
          <w:trHeight w:val="395"/>
        </w:trPr>
        <w:tc>
          <w:tcPr>
            <w:tcW w:w="3055" w:type="dxa"/>
            <w:shd w:val="clear" w:color="auto" w:fill="FFE599" w:themeFill="accent4" w:themeFillTint="66"/>
          </w:tcPr>
          <w:p w14:paraId="3157EC20" w14:textId="4240DE65" w:rsidR="00D76AFA" w:rsidRPr="00903EBE" w:rsidRDefault="00D76AFA" w:rsidP="0094070A">
            <w:pPr>
              <w:jc w:val="center"/>
              <w:rPr>
                <w:rFonts w:ascii="Arial" w:hAnsi="Arial" w:cs="Arial"/>
                <w:sz w:val="22"/>
                <w:szCs w:val="22"/>
              </w:rPr>
            </w:pPr>
            <w:r w:rsidRPr="00903EBE">
              <w:rPr>
                <w:rFonts w:ascii="Arial" w:hAnsi="Arial" w:cs="Arial"/>
                <w:sz w:val="22"/>
                <w:szCs w:val="22"/>
              </w:rPr>
              <w:t>OBJECTIVE</w:t>
            </w:r>
          </w:p>
        </w:tc>
        <w:tc>
          <w:tcPr>
            <w:tcW w:w="4770" w:type="dxa"/>
            <w:shd w:val="clear" w:color="auto" w:fill="FFE599" w:themeFill="accent4" w:themeFillTint="66"/>
          </w:tcPr>
          <w:p w14:paraId="261A184B" w14:textId="4DA0A3E1" w:rsidR="00D76AFA" w:rsidRPr="00903EBE" w:rsidRDefault="00D76AFA" w:rsidP="00D76AFA">
            <w:pPr>
              <w:ind w:left="360" w:hanging="360"/>
              <w:jc w:val="center"/>
              <w:rPr>
                <w:rFonts w:ascii="Arial" w:hAnsi="Arial" w:cs="Arial"/>
                <w:sz w:val="22"/>
                <w:szCs w:val="22"/>
              </w:rPr>
            </w:pPr>
            <w:r w:rsidRPr="00903EBE">
              <w:rPr>
                <w:rFonts w:ascii="Arial" w:hAnsi="Arial" w:cs="Arial"/>
                <w:sz w:val="22"/>
                <w:szCs w:val="22"/>
              </w:rPr>
              <w:t>TASKS</w:t>
            </w:r>
          </w:p>
        </w:tc>
        <w:tc>
          <w:tcPr>
            <w:tcW w:w="5850" w:type="dxa"/>
            <w:shd w:val="clear" w:color="auto" w:fill="FFE599" w:themeFill="accent4" w:themeFillTint="66"/>
          </w:tcPr>
          <w:p w14:paraId="54093819" w14:textId="42BBA3C3" w:rsidR="00D76AFA" w:rsidRPr="00903EBE" w:rsidRDefault="00D76AFA" w:rsidP="00D76AFA">
            <w:pPr>
              <w:ind w:left="504" w:hanging="504"/>
              <w:jc w:val="center"/>
              <w:rPr>
                <w:rFonts w:ascii="Arial" w:hAnsi="Arial" w:cs="Arial"/>
                <w:sz w:val="22"/>
                <w:szCs w:val="22"/>
              </w:rPr>
            </w:pPr>
            <w:r w:rsidRPr="00903EBE">
              <w:rPr>
                <w:rFonts w:ascii="Arial" w:hAnsi="Arial" w:cs="Arial"/>
                <w:sz w:val="22"/>
                <w:szCs w:val="22"/>
              </w:rPr>
              <w:t>PERFORMANCE MEASURES</w:t>
            </w:r>
          </w:p>
        </w:tc>
      </w:tr>
      <w:tr w:rsidR="00D76AFA" w:rsidRPr="00135CC9" w14:paraId="28911199" w14:textId="77777777" w:rsidTr="00D76AFA">
        <w:trPr>
          <w:trHeight w:val="692"/>
        </w:trPr>
        <w:tc>
          <w:tcPr>
            <w:tcW w:w="3055" w:type="dxa"/>
            <w:vMerge w:val="restart"/>
          </w:tcPr>
          <w:p w14:paraId="2BD4C5E7" w14:textId="77777777" w:rsidR="00D76AFA" w:rsidRPr="00903EBE" w:rsidRDefault="00D76AFA" w:rsidP="0094070A">
            <w:pPr>
              <w:rPr>
                <w:rFonts w:ascii="Arial" w:hAnsi="Arial" w:cs="Arial"/>
                <w:sz w:val="22"/>
                <w:szCs w:val="22"/>
              </w:rPr>
            </w:pPr>
            <w:r w:rsidRPr="00903EBE">
              <w:rPr>
                <w:rFonts w:ascii="Arial" w:hAnsi="Arial" w:cs="Arial"/>
                <w:sz w:val="22"/>
                <w:szCs w:val="22"/>
              </w:rPr>
              <w:t>4: Program Evaluation and Quality Management</w:t>
            </w:r>
          </w:p>
        </w:tc>
        <w:tc>
          <w:tcPr>
            <w:tcW w:w="4770" w:type="dxa"/>
          </w:tcPr>
          <w:p w14:paraId="7CC9433D" w14:textId="77777777" w:rsidR="00D76AFA" w:rsidRPr="00903EBE" w:rsidRDefault="00D76AFA" w:rsidP="00D76AFA">
            <w:pPr>
              <w:ind w:left="360" w:hanging="360"/>
              <w:rPr>
                <w:rFonts w:ascii="Arial" w:hAnsi="Arial" w:cs="Arial"/>
                <w:sz w:val="22"/>
                <w:szCs w:val="22"/>
              </w:rPr>
            </w:pPr>
            <w:r w:rsidRPr="00903EBE">
              <w:rPr>
                <w:rFonts w:ascii="Arial" w:hAnsi="Arial" w:cs="Arial"/>
                <w:sz w:val="22"/>
                <w:szCs w:val="22"/>
              </w:rPr>
              <w:t>4.1 Develop and implement activities that monitor and evaluate program processes, quality of care and outcomes.</w:t>
            </w:r>
          </w:p>
        </w:tc>
        <w:tc>
          <w:tcPr>
            <w:tcW w:w="5850" w:type="dxa"/>
          </w:tcPr>
          <w:p w14:paraId="478A8116" w14:textId="0E7AD1F9" w:rsidR="00D76AFA" w:rsidRPr="00903EBE" w:rsidRDefault="00D76AFA" w:rsidP="00D76AFA">
            <w:pPr>
              <w:ind w:left="504" w:hanging="504"/>
              <w:rPr>
                <w:rFonts w:ascii="Arial" w:hAnsi="Arial" w:cs="Arial"/>
                <w:sz w:val="22"/>
                <w:szCs w:val="22"/>
              </w:rPr>
            </w:pPr>
            <w:r w:rsidRPr="00903EBE">
              <w:rPr>
                <w:rFonts w:ascii="Arial" w:hAnsi="Arial" w:cs="Arial"/>
                <w:sz w:val="22"/>
                <w:szCs w:val="22"/>
              </w:rPr>
              <w:t>4.1.1 Program performance will be measured as per the AI</w:t>
            </w:r>
            <w:r w:rsidR="008815C7">
              <w:rPr>
                <w:rFonts w:ascii="Arial" w:hAnsi="Arial" w:cs="Arial"/>
                <w:sz w:val="22"/>
                <w:szCs w:val="22"/>
              </w:rPr>
              <w:t>DS Institute</w:t>
            </w:r>
            <w:r w:rsidRPr="00903EBE">
              <w:rPr>
                <w:rFonts w:ascii="Arial" w:hAnsi="Arial" w:cs="Arial"/>
                <w:sz w:val="22"/>
                <w:szCs w:val="22"/>
              </w:rPr>
              <w:t xml:space="preserve"> Quality Improvement Program and measures outlined in the Initiative Program Standards.</w:t>
            </w:r>
          </w:p>
          <w:p w14:paraId="2786FFC3" w14:textId="77777777" w:rsidR="00D76AFA" w:rsidRPr="00903EBE" w:rsidRDefault="00D76AFA" w:rsidP="00D76AFA">
            <w:pPr>
              <w:ind w:left="504" w:hanging="504"/>
              <w:rPr>
                <w:rFonts w:ascii="Arial" w:hAnsi="Arial" w:cs="Arial"/>
                <w:sz w:val="22"/>
                <w:szCs w:val="22"/>
              </w:rPr>
            </w:pPr>
          </w:p>
        </w:tc>
      </w:tr>
      <w:tr w:rsidR="00D76AFA" w:rsidRPr="00135CC9" w14:paraId="135D15A4" w14:textId="77777777" w:rsidTr="00D76AFA">
        <w:trPr>
          <w:trHeight w:val="230"/>
        </w:trPr>
        <w:tc>
          <w:tcPr>
            <w:tcW w:w="3055" w:type="dxa"/>
            <w:vMerge/>
          </w:tcPr>
          <w:p w14:paraId="605CD972" w14:textId="77777777" w:rsidR="00D76AFA" w:rsidRPr="00903EBE" w:rsidRDefault="00D76AFA" w:rsidP="0094070A">
            <w:pPr>
              <w:rPr>
                <w:rFonts w:ascii="Arial" w:hAnsi="Arial" w:cs="Arial"/>
                <w:sz w:val="22"/>
                <w:szCs w:val="22"/>
              </w:rPr>
            </w:pPr>
          </w:p>
        </w:tc>
        <w:tc>
          <w:tcPr>
            <w:tcW w:w="4770" w:type="dxa"/>
          </w:tcPr>
          <w:p w14:paraId="46FF5436" w14:textId="4A8533FF"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4.2 Contractor will participate in NYSDOH </w:t>
            </w:r>
            <w:r w:rsidR="00452D8A">
              <w:rPr>
                <w:rFonts w:ascii="Arial" w:hAnsi="Arial" w:cs="Arial"/>
                <w:sz w:val="22"/>
                <w:szCs w:val="22"/>
              </w:rPr>
              <w:t>AI</w:t>
            </w:r>
            <w:r w:rsidR="008815C7">
              <w:rPr>
                <w:rFonts w:ascii="Arial" w:hAnsi="Arial" w:cs="Arial"/>
                <w:sz w:val="22"/>
                <w:szCs w:val="22"/>
              </w:rPr>
              <w:t>DS Institute</w:t>
            </w:r>
            <w:r w:rsidR="00452D8A">
              <w:rPr>
                <w:rFonts w:ascii="Arial" w:hAnsi="Arial" w:cs="Arial"/>
                <w:sz w:val="22"/>
                <w:szCs w:val="22"/>
              </w:rPr>
              <w:t xml:space="preserve"> </w:t>
            </w:r>
            <w:r w:rsidRPr="00903EBE">
              <w:rPr>
                <w:rFonts w:ascii="Arial" w:hAnsi="Arial" w:cs="Arial"/>
                <w:sz w:val="22"/>
                <w:szCs w:val="22"/>
              </w:rPr>
              <w:t>Quality of Care program activities.</w:t>
            </w:r>
          </w:p>
          <w:p w14:paraId="4C4E71B6" w14:textId="77777777" w:rsidR="00D76AFA" w:rsidRPr="00903EBE" w:rsidRDefault="00D76AFA" w:rsidP="00D76AFA">
            <w:pPr>
              <w:ind w:left="360" w:hanging="360"/>
              <w:rPr>
                <w:rFonts w:ascii="Arial" w:hAnsi="Arial" w:cs="Arial"/>
                <w:sz w:val="22"/>
                <w:szCs w:val="22"/>
              </w:rPr>
            </w:pPr>
          </w:p>
        </w:tc>
        <w:tc>
          <w:tcPr>
            <w:tcW w:w="5850" w:type="dxa"/>
          </w:tcPr>
          <w:p w14:paraId="0DB07835"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t>4.2.1 100% of Clinical Cascade and HRSA RSR submissions are submitted annually, accurately and within specified timeframes.</w:t>
            </w:r>
          </w:p>
        </w:tc>
      </w:tr>
      <w:tr w:rsidR="00D76AFA" w:rsidRPr="00135CC9" w14:paraId="631C79AA" w14:textId="77777777" w:rsidTr="00D76AFA">
        <w:trPr>
          <w:trHeight w:val="230"/>
        </w:trPr>
        <w:tc>
          <w:tcPr>
            <w:tcW w:w="3055" w:type="dxa"/>
            <w:vMerge/>
          </w:tcPr>
          <w:p w14:paraId="7513F6E3" w14:textId="77777777" w:rsidR="00D76AFA" w:rsidRPr="00903EBE" w:rsidRDefault="00D76AFA" w:rsidP="0094070A">
            <w:pPr>
              <w:rPr>
                <w:rFonts w:ascii="Arial" w:hAnsi="Arial" w:cs="Arial"/>
                <w:sz w:val="22"/>
                <w:szCs w:val="22"/>
              </w:rPr>
            </w:pPr>
          </w:p>
        </w:tc>
        <w:tc>
          <w:tcPr>
            <w:tcW w:w="4770" w:type="dxa"/>
          </w:tcPr>
          <w:p w14:paraId="25CFD171" w14:textId="66A8F57F" w:rsidR="00D76AFA" w:rsidRPr="00903EBE" w:rsidRDefault="00D76AFA" w:rsidP="00D76AFA">
            <w:pPr>
              <w:ind w:left="360" w:hanging="360"/>
              <w:rPr>
                <w:rFonts w:ascii="Arial" w:hAnsi="Arial" w:cs="Arial"/>
                <w:sz w:val="22"/>
                <w:szCs w:val="22"/>
              </w:rPr>
            </w:pPr>
            <w:r w:rsidRPr="00903EBE">
              <w:rPr>
                <w:rFonts w:ascii="Arial" w:hAnsi="Arial" w:cs="Arial"/>
                <w:sz w:val="22"/>
                <w:szCs w:val="22"/>
              </w:rPr>
              <w:t>4.3 Contractor will develop a mechanism for incorporating consumer feedback into quality improvement.</w:t>
            </w:r>
          </w:p>
          <w:p w14:paraId="30A2B032" w14:textId="77777777" w:rsidR="00D76AFA" w:rsidRPr="00903EBE" w:rsidRDefault="00D76AFA" w:rsidP="00D76AFA">
            <w:pPr>
              <w:ind w:left="360" w:hanging="360"/>
              <w:rPr>
                <w:rFonts w:ascii="Arial" w:hAnsi="Arial" w:cs="Arial"/>
                <w:sz w:val="22"/>
                <w:szCs w:val="22"/>
              </w:rPr>
            </w:pPr>
          </w:p>
        </w:tc>
        <w:tc>
          <w:tcPr>
            <w:tcW w:w="5850" w:type="dxa"/>
          </w:tcPr>
          <w:p w14:paraId="12134134"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t>4.3.1 100% of all programs will have a documented and implemented mechanism for measuring consumer satisfaction. Documentation will be made available during program monitoring reviews.</w:t>
            </w:r>
          </w:p>
        </w:tc>
      </w:tr>
      <w:tr w:rsidR="00D76AFA" w:rsidRPr="00135CC9" w14:paraId="4FF01841" w14:textId="77777777" w:rsidTr="00D76AFA">
        <w:trPr>
          <w:trHeight w:val="962"/>
        </w:trPr>
        <w:tc>
          <w:tcPr>
            <w:tcW w:w="3055" w:type="dxa"/>
            <w:shd w:val="clear" w:color="auto" w:fill="FFE599" w:themeFill="accent4" w:themeFillTint="66"/>
          </w:tcPr>
          <w:p w14:paraId="56745615" w14:textId="69537874" w:rsidR="00D76AFA" w:rsidRPr="00903EBE" w:rsidRDefault="00D76AFA" w:rsidP="0094070A">
            <w:pPr>
              <w:jc w:val="center"/>
              <w:rPr>
                <w:rFonts w:ascii="Arial" w:hAnsi="Arial" w:cs="Arial"/>
                <w:sz w:val="22"/>
                <w:szCs w:val="22"/>
              </w:rPr>
            </w:pPr>
            <w:r w:rsidRPr="00903EBE">
              <w:rPr>
                <w:rFonts w:ascii="Arial" w:hAnsi="Arial" w:cs="Arial"/>
                <w:sz w:val="22"/>
                <w:szCs w:val="22"/>
              </w:rPr>
              <w:t>OBJECTIVE</w:t>
            </w:r>
          </w:p>
        </w:tc>
        <w:tc>
          <w:tcPr>
            <w:tcW w:w="4770" w:type="dxa"/>
            <w:shd w:val="clear" w:color="auto" w:fill="FFE599" w:themeFill="accent4" w:themeFillTint="66"/>
          </w:tcPr>
          <w:p w14:paraId="32ED9316" w14:textId="4021BCC4" w:rsidR="00D76AFA" w:rsidRPr="00903EBE" w:rsidRDefault="00D76AFA" w:rsidP="00D76AFA">
            <w:pPr>
              <w:ind w:left="360" w:hanging="360"/>
              <w:jc w:val="center"/>
              <w:rPr>
                <w:rFonts w:ascii="Arial" w:hAnsi="Arial" w:cs="Arial"/>
                <w:sz w:val="22"/>
                <w:szCs w:val="22"/>
              </w:rPr>
            </w:pPr>
            <w:r w:rsidRPr="00903EBE">
              <w:rPr>
                <w:rFonts w:ascii="Arial" w:hAnsi="Arial" w:cs="Arial"/>
                <w:sz w:val="22"/>
                <w:szCs w:val="22"/>
              </w:rPr>
              <w:t>TASKS</w:t>
            </w:r>
          </w:p>
        </w:tc>
        <w:tc>
          <w:tcPr>
            <w:tcW w:w="5850" w:type="dxa"/>
            <w:shd w:val="clear" w:color="auto" w:fill="FFE599" w:themeFill="accent4" w:themeFillTint="66"/>
          </w:tcPr>
          <w:p w14:paraId="463E8AFD" w14:textId="33863EBE" w:rsidR="00D76AFA" w:rsidRPr="00903EBE" w:rsidRDefault="00D76AFA" w:rsidP="00D76AFA">
            <w:pPr>
              <w:ind w:left="504" w:hanging="504"/>
              <w:jc w:val="center"/>
              <w:rPr>
                <w:rFonts w:ascii="Arial" w:hAnsi="Arial" w:cs="Arial"/>
                <w:sz w:val="22"/>
                <w:szCs w:val="22"/>
              </w:rPr>
            </w:pPr>
            <w:r w:rsidRPr="00903EBE">
              <w:rPr>
                <w:rFonts w:ascii="Arial" w:hAnsi="Arial" w:cs="Arial"/>
                <w:sz w:val="22"/>
                <w:szCs w:val="22"/>
              </w:rPr>
              <w:t>PERFORMANCE MEASURES</w:t>
            </w:r>
          </w:p>
        </w:tc>
      </w:tr>
      <w:tr w:rsidR="00D76AFA" w:rsidRPr="00135CC9" w14:paraId="3C4A57A4" w14:textId="77777777" w:rsidTr="00D76AFA">
        <w:trPr>
          <w:trHeight w:val="692"/>
        </w:trPr>
        <w:tc>
          <w:tcPr>
            <w:tcW w:w="3055" w:type="dxa"/>
            <w:vMerge w:val="restart"/>
          </w:tcPr>
          <w:p w14:paraId="48DF64F5" w14:textId="77777777" w:rsidR="00D76AFA" w:rsidRPr="00903EBE" w:rsidRDefault="00D76AFA" w:rsidP="0094070A">
            <w:pPr>
              <w:rPr>
                <w:rFonts w:ascii="Arial" w:hAnsi="Arial" w:cs="Arial"/>
                <w:sz w:val="22"/>
                <w:szCs w:val="22"/>
              </w:rPr>
            </w:pPr>
            <w:r w:rsidRPr="00903EBE">
              <w:rPr>
                <w:rFonts w:ascii="Arial" w:hAnsi="Arial" w:cs="Arial"/>
                <w:sz w:val="22"/>
                <w:szCs w:val="22"/>
              </w:rPr>
              <w:t>5: Flexibility in programming for directing resources effectively</w:t>
            </w:r>
          </w:p>
        </w:tc>
        <w:tc>
          <w:tcPr>
            <w:tcW w:w="4770" w:type="dxa"/>
          </w:tcPr>
          <w:p w14:paraId="174F4993" w14:textId="6B04CD03" w:rsidR="00D76AFA" w:rsidRPr="00903EBE" w:rsidRDefault="00D76AFA" w:rsidP="00D76AFA">
            <w:pPr>
              <w:ind w:left="360" w:hanging="360"/>
              <w:rPr>
                <w:rFonts w:ascii="Arial" w:hAnsi="Arial" w:cs="Arial"/>
                <w:sz w:val="22"/>
                <w:szCs w:val="22"/>
              </w:rPr>
            </w:pPr>
            <w:r w:rsidRPr="00903EBE">
              <w:rPr>
                <w:rFonts w:ascii="Arial" w:hAnsi="Arial" w:cs="Arial"/>
                <w:sz w:val="22"/>
                <w:szCs w:val="22"/>
              </w:rPr>
              <w:t>5.1 Flexibility in programming is necessary to ensure that resources are effectively directed to the populations and communities most in need.</w:t>
            </w:r>
          </w:p>
        </w:tc>
        <w:tc>
          <w:tcPr>
            <w:tcW w:w="5850" w:type="dxa"/>
          </w:tcPr>
          <w:p w14:paraId="325C3ACD" w14:textId="739A598B" w:rsidR="00D76AFA" w:rsidRPr="00903EBE" w:rsidRDefault="00D76AFA" w:rsidP="00D76AFA">
            <w:pPr>
              <w:ind w:left="504" w:hanging="504"/>
              <w:rPr>
                <w:rFonts w:ascii="Arial" w:hAnsi="Arial" w:cs="Arial"/>
                <w:sz w:val="22"/>
                <w:szCs w:val="22"/>
              </w:rPr>
            </w:pPr>
            <w:r w:rsidRPr="00903EBE">
              <w:rPr>
                <w:rFonts w:ascii="Arial" w:hAnsi="Arial" w:cs="Arial"/>
                <w:sz w:val="22"/>
                <w:szCs w:val="22"/>
              </w:rPr>
              <w:t>5.1.1 N/A</w:t>
            </w:r>
          </w:p>
          <w:p w14:paraId="17488631" w14:textId="77777777" w:rsidR="00D76AFA" w:rsidRPr="00903EBE" w:rsidRDefault="00D76AFA" w:rsidP="00D76AFA">
            <w:pPr>
              <w:ind w:left="504" w:hanging="504"/>
              <w:rPr>
                <w:rFonts w:ascii="Arial" w:hAnsi="Arial" w:cs="Arial"/>
                <w:sz w:val="22"/>
                <w:szCs w:val="22"/>
              </w:rPr>
            </w:pPr>
          </w:p>
        </w:tc>
      </w:tr>
      <w:tr w:rsidR="00D76AFA" w:rsidRPr="00135CC9" w14:paraId="10AB74F6" w14:textId="77777777" w:rsidTr="00D76AFA">
        <w:trPr>
          <w:trHeight w:val="230"/>
        </w:trPr>
        <w:tc>
          <w:tcPr>
            <w:tcW w:w="3055" w:type="dxa"/>
            <w:vMerge/>
          </w:tcPr>
          <w:p w14:paraId="0B10FFA7" w14:textId="77777777" w:rsidR="00D76AFA" w:rsidRPr="00903EBE" w:rsidRDefault="00D76AFA" w:rsidP="0094070A">
            <w:pPr>
              <w:rPr>
                <w:rFonts w:ascii="Arial" w:hAnsi="Arial" w:cs="Arial"/>
                <w:sz w:val="22"/>
                <w:szCs w:val="22"/>
              </w:rPr>
            </w:pPr>
          </w:p>
        </w:tc>
        <w:tc>
          <w:tcPr>
            <w:tcW w:w="4770" w:type="dxa"/>
          </w:tcPr>
          <w:p w14:paraId="1211C2AE" w14:textId="57832829" w:rsidR="00D76AFA" w:rsidRPr="00903EBE" w:rsidRDefault="00D76AFA" w:rsidP="00D76AFA">
            <w:pPr>
              <w:ind w:left="360" w:hanging="360"/>
              <w:rPr>
                <w:rFonts w:ascii="Arial" w:hAnsi="Arial" w:cs="Arial"/>
                <w:sz w:val="22"/>
                <w:szCs w:val="22"/>
              </w:rPr>
            </w:pPr>
            <w:r w:rsidRPr="00903EBE">
              <w:rPr>
                <w:rFonts w:ascii="Arial" w:hAnsi="Arial" w:cs="Arial"/>
                <w:sz w:val="22"/>
                <w:szCs w:val="22"/>
              </w:rPr>
              <w:t>5.2 Contract activities &amp; deliverables may be modified at any point in this contract upon direction of the AIDS Institute to address emerging needs or disparities, emerging HIV/</w:t>
            </w:r>
            <w:r w:rsidR="008815C7">
              <w:rPr>
                <w:rFonts w:ascii="Arial" w:hAnsi="Arial" w:cs="Arial"/>
                <w:sz w:val="22"/>
                <w:szCs w:val="22"/>
              </w:rPr>
              <w:t>sexually transmitted infections</w:t>
            </w:r>
            <w:r w:rsidRPr="00903EBE">
              <w:rPr>
                <w:rFonts w:ascii="Arial" w:hAnsi="Arial" w:cs="Arial"/>
                <w:sz w:val="22"/>
                <w:szCs w:val="22"/>
              </w:rPr>
              <w:t>/</w:t>
            </w:r>
            <w:r w:rsidR="008815C7">
              <w:rPr>
                <w:rFonts w:ascii="Arial" w:hAnsi="Arial" w:cs="Arial"/>
                <w:sz w:val="22"/>
                <w:szCs w:val="22"/>
              </w:rPr>
              <w:t>Hepatitis C</w:t>
            </w:r>
            <w:r w:rsidR="008815C7" w:rsidRPr="00903EBE">
              <w:rPr>
                <w:rFonts w:ascii="Arial" w:hAnsi="Arial" w:cs="Arial"/>
                <w:sz w:val="22"/>
                <w:szCs w:val="22"/>
              </w:rPr>
              <w:t xml:space="preserve"> </w:t>
            </w:r>
            <w:r w:rsidRPr="00903EBE">
              <w:rPr>
                <w:rFonts w:ascii="Arial" w:hAnsi="Arial" w:cs="Arial"/>
                <w:sz w:val="22"/>
                <w:szCs w:val="22"/>
              </w:rPr>
              <w:t>epidemiologic patterns, or to accommodate advances in best practice.</w:t>
            </w:r>
          </w:p>
          <w:p w14:paraId="4E6655F7" w14:textId="77777777" w:rsidR="00D76AFA" w:rsidRPr="00903EBE" w:rsidRDefault="00D76AFA" w:rsidP="00D76AFA">
            <w:pPr>
              <w:ind w:left="360" w:hanging="360"/>
              <w:rPr>
                <w:rFonts w:ascii="Arial" w:hAnsi="Arial" w:cs="Arial"/>
                <w:sz w:val="22"/>
                <w:szCs w:val="22"/>
              </w:rPr>
            </w:pPr>
          </w:p>
          <w:p w14:paraId="0E44DB2F" w14:textId="6C7FD8A2" w:rsidR="00D76AFA" w:rsidRPr="00903EBE" w:rsidRDefault="00D76AFA" w:rsidP="00D76AFA">
            <w:pPr>
              <w:ind w:left="360" w:hanging="360"/>
              <w:rPr>
                <w:rFonts w:ascii="Arial" w:hAnsi="Arial" w:cs="Arial"/>
                <w:sz w:val="22"/>
                <w:szCs w:val="22"/>
              </w:rPr>
            </w:pPr>
            <w:r w:rsidRPr="00903EBE">
              <w:rPr>
                <w:rFonts w:ascii="Arial" w:hAnsi="Arial" w:cs="Arial"/>
                <w:sz w:val="22"/>
                <w:szCs w:val="22"/>
              </w:rPr>
              <w:t xml:space="preserve">5.3 Assist with other priority public health issues if/when they arise (e.g., local </w:t>
            </w:r>
            <w:r w:rsidR="008815C7">
              <w:rPr>
                <w:rFonts w:ascii="Arial" w:hAnsi="Arial" w:cs="Arial"/>
                <w:sz w:val="22"/>
                <w:szCs w:val="22"/>
              </w:rPr>
              <w:t>sexually transmitted infection</w:t>
            </w:r>
            <w:r w:rsidRPr="00903EBE">
              <w:rPr>
                <w:rFonts w:ascii="Arial" w:hAnsi="Arial" w:cs="Arial"/>
                <w:sz w:val="22"/>
                <w:szCs w:val="22"/>
              </w:rPr>
              <w:t xml:space="preserve"> case increases, outbreaks, emergency </w:t>
            </w:r>
            <w:r w:rsidRPr="00903EBE">
              <w:rPr>
                <w:rFonts w:ascii="Arial" w:hAnsi="Arial" w:cs="Arial"/>
                <w:sz w:val="22"/>
                <w:szCs w:val="22"/>
              </w:rPr>
              <w:lastRenderedPageBreak/>
              <w:t>situations, etc.). The contract manager must approve non-work plan work.</w:t>
            </w:r>
          </w:p>
          <w:p w14:paraId="02995173" w14:textId="77777777" w:rsidR="00D76AFA" w:rsidRPr="00903EBE" w:rsidRDefault="00D76AFA" w:rsidP="00D76AFA">
            <w:pPr>
              <w:ind w:left="360" w:hanging="360"/>
              <w:rPr>
                <w:rFonts w:ascii="Arial" w:hAnsi="Arial" w:cs="Arial"/>
                <w:sz w:val="22"/>
                <w:szCs w:val="22"/>
              </w:rPr>
            </w:pPr>
          </w:p>
        </w:tc>
        <w:tc>
          <w:tcPr>
            <w:tcW w:w="5850" w:type="dxa"/>
          </w:tcPr>
          <w:p w14:paraId="11F40BE7"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lastRenderedPageBreak/>
              <w:t>5.2.1 Aid with non-work plan public health issues if/when they arise.</w:t>
            </w:r>
          </w:p>
          <w:p w14:paraId="5A7948E6" w14:textId="77777777" w:rsidR="00D76AFA" w:rsidRPr="00903EBE" w:rsidRDefault="00D76AFA" w:rsidP="00D76AFA">
            <w:pPr>
              <w:ind w:left="504" w:hanging="504"/>
              <w:rPr>
                <w:rFonts w:ascii="Arial" w:hAnsi="Arial" w:cs="Arial"/>
                <w:sz w:val="22"/>
                <w:szCs w:val="22"/>
              </w:rPr>
            </w:pPr>
          </w:p>
          <w:p w14:paraId="79EE914B" w14:textId="77777777" w:rsidR="00D76AFA" w:rsidRPr="00903EBE" w:rsidRDefault="00D76AFA" w:rsidP="00D76AFA">
            <w:pPr>
              <w:ind w:left="504" w:hanging="504"/>
              <w:rPr>
                <w:rFonts w:ascii="Arial" w:hAnsi="Arial" w:cs="Arial"/>
                <w:sz w:val="22"/>
                <w:szCs w:val="22"/>
              </w:rPr>
            </w:pPr>
          </w:p>
          <w:p w14:paraId="5048E01C" w14:textId="77777777" w:rsidR="00D76AFA" w:rsidRPr="00903EBE" w:rsidRDefault="00D76AFA" w:rsidP="00D76AFA">
            <w:pPr>
              <w:ind w:left="504" w:hanging="504"/>
              <w:rPr>
                <w:rFonts w:ascii="Arial" w:hAnsi="Arial" w:cs="Arial"/>
                <w:sz w:val="22"/>
                <w:szCs w:val="22"/>
              </w:rPr>
            </w:pPr>
          </w:p>
          <w:p w14:paraId="16CA6160" w14:textId="77777777" w:rsidR="00D76AFA" w:rsidRPr="00903EBE" w:rsidRDefault="00D76AFA" w:rsidP="00D76AFA">
            <w:pPr>
              <w:ind w:left="504" w:hanging="504"/>
              <w:rPr>
                <w:rFonts w:ascii="Arial" w:hAnsi="Arial" w:cs="Arial"/>
                <w:sz w:val="22"/>
                <w:szCs w:val="22"/>
              </w:rPr>
            </w:pPr>
          </w:p>
          <w:p w14:paraId="6D065320" w14:textId="2B70E032" w:rsidR="00D76AFA" w:rsidRDefault="00D76AFA" w:rsidP="00D76AFA">
            <w:pPr>
              <w:ind w:left="504" w:hanging="504"/>
              <w:rPr>
                <w:rFonts w:ascii="Arial" w:hAnsi="Arial" w:cs="Arial"/>
                <w:sz w:val="22"/>
                <w:szCs w:val="22"/>
              </w:rPr>
            </w:pPr>
          </w:p>
          <w:p w14:paraId="24559D55" w14:textId="77777777" w:rsidR="00D76AFA" w:rsidRPr="00903EBE" w:rsidRDefault="00D76AFA" w:rsidP="00D76AFA">
            <w:pPr>
              <w:ind w:left="504" w:hanging="504"/>
              <w:rPr>
                <w:rFonts w:ascii="Arial" w:hAnsi="Arial" w:cs="Arial"/>
                <w:sz w:val="22"/>
                <w:szCs w:val="22"/>
              </w:rPr>
            </w:pPr>
          </w:p>
          <w:p w14:paraId="26AFD5C2" w14:textId="77777777" w:rsidR="00D76AFA" w:rsidRPr="00903EBE" w:rsidRDefault="00D76AFA" w:rsidP="00D76AFA">
            <w:pPr>
              <w:ind w:left="504" w:hanging="504"/>
              <w:rPr>
                <w:rFonts w:ascii="Arial" w:hAnsi="Arial" w:cs="Arial"/>
                <w:sz w:val="22"/>
                <w:szCs w:val="22"/>
              </w:rPr>
            </w:pPr>
            <w:r w:rsidRPr="00903EBE">
              <w:rPr>
                <w:rFonts w:ascii="Arial" w:hAnsi="Arial" w:cs="Arial"/>
                <w:sz w:val="22"/>
                <w:szCs w:val="22"/>
              </w:rPr>
              <w:t>5.3.1 Aid with non-work plan public health issues if/when they arise.</w:t>
            </w:r>
          </w:p>
          <w:p w14:paraId="42A832F1" w14:textId="77777777" w:rsidR="00D76AFA" w:rsidRPr="00903EBE" w:rsidRDefault="00D76AFA" w:rsidP="00D76AFA">
            <w:pPr>
              <w:ind w:left="504" w:hanging="504"/>
              <w:rPr>
                <w:rFonts w:ascii="Arial" w:hAnsi="Arial" w:cs="Arial"/>
                <w:sz w:val="22"/>
                <w:szCs w:val="22"/>
              </w:rPr>
            </w:pPr>
          </w:p>
        </w:tc>
      </w:tr>
    </w:tbl>
    <w:p w14:paraId="1CB2BED0" w14:textId="77777777" w:rsidR="00136BDD" w:rsidRPr="00903EBE" w:rsidRDefault="00136BDD" w:rsidP="00D76AFA">
      <w:pPr>
        <w:rPr>
          <w:rFonts w:ascii="Arial" w:hAnsi="Arial" w:cs="Arial"/>
          <w:sz w:val="22"/>
          <w:szCs w:val="22"/>
        </w:rPr>
      </w:pPr>
    </w:p>
    <w:sectPr w:rsidR="00136BDD" w:rsidRPr="00903EBE" w:rsidSect="00136BDD">
      <w:headerReference w:type="default" r:id="rId10"/>
      <w:footerReference w:type="even" r:id="rId11"/>
      <w:footerReference w:type="default" r:id="rId12"/>
      <w:headerReference w:type="first" r:id="rId13"/>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4ED3" w14:textId="77777777" w:rsidR="008D1E98" w:rsidRDefault="008D1E98">
      <w:r>
        <w:separator/>
      </w:r>
    </w:p>
  </w:endnote>
  <w:endnote w:type="continuationSeparator" w:id="0">
    <w:p w14:paraId="50EFA8BA" w14:textId="77777777" w:rsidR="008D1E98" w:rsidRDefault="008D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CE6B" w14:textId="77777777" w:rsidR="008815C7" w:rsidRDefault="00EC1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83993D" w14:textId="77777777" w:rsidR="008815C7" w:rsidRDefault="00881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31BE" w14:textId="77777777" w:rsidR="008815C7" w:rsidRDefault="008815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F02D" w14:textId="77777777" w:rsidR="008D1E98" w:rsidRDefault="008D1E98">
      <w:r>
        <w:separator/>
      </w:r>
    </w:p>
  </w:footnote>
  <w:footnote w:type="continuationSeparator" w:id="0">
    <w:p w14:paraId="7C55BBC6" w14:textId="77777777" w:rsidR="008D1E98" w:rsidRDefault="008D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AF4E" w14:textId="77777777" w:rsidR="008815C7" w:rsidRPr="00036627" w:rsidRDefault="008815C7" w:rsidP="00036627">
    <w:pPr>
      <w:jc w:val="right"/>
      <w:rPr>
        <w:rFonts w:ascii="Verdana" w:hAnsi="Verdan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C380" w14:textId="77777777" w:rsidR="008815C7" w:rsidRPr="00BA4EE7" w:rsidRDefault="00EC12A6" w:rsidP="00032E7B">
    <w:pPr>
      <w:pStyle w:val="Header"/>
      <w:jc w:val="right"/>
      <w:rPr>
        <w:b/>
        <w:bCs/>
      </w:rPr>
    </w:pPr>
    <w:r w:rsidRPr="00C24A74">
      <w:rPr>
        <w:b/>
        <w:bCs/>
      </w:rPr>
      <w:t>Attachment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9C7"/>
    <w:multiLevelType w:val="multilevel"/>
    <w:tmpl w:val="16EA8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E452B09"/>
    <w:multiLevelType w:val="multilevel"/>
    <w:tmpl w:val="6B38CD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210433E"/>
    <w:multiLevelType w:val="multilevel"/>
    <w:tmpl w:val="CA466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8791562">
    <w:abstractNumId w:val="0"/>
  </w:num>
  <w:num w:numId="2" w16cid:durableId="1061489116">
    <w:abstractNumId w:val="1"/>
  </w:num>
  <w:num w:numId="3" w16cid:durableId="763458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DF"/>
    <w:rsid w:val="0002050E"/>
    <w:rsid w:val="000760CA"/>
    <w:rsid w:val="000B499E"/>
    <w:rsid w:val="00136BDD"/>
    <w:rsid w:val="004270ED"/>
    <w:rsid w:val="00452D8A"/>
    <w:rsid w:val="004D1A4B"/>
    <w:rsid w:val="00503B06"/>
    <w:rsid w:val="005D5B3A"/>
    <w:rsid w:val="0068757A"/>
    <w:rsid w:val="006B48A4"/>
    <w:rsid w:val="00780EB6"/>
    <w:rsid w:val="008815C7"/>
    <w:rsid w:val="008D1E98"/>
    <w:rsid w:val="00926B4E"/>
    <w:rsid w:val="009306B9"/>
    <w:rsid w:val="00A04D04"/>
    <w:rsid w:val="00A63F7E"/>
    <w:rsid w:val="00B340A5"/>
    <w:rsid w:val="00B47B0C"/>
    <w:rsid w:val="00B56288"/>
    <w:rsid w:val="00C65E11"/>
    <w:rsid w:val="00CE6C73"/>
    <w:rsid w:val="00D76AFA"/>
    <w:rsid w:val="00DC09BB"/>
    <w:rsid w:val="00DE6C68"/>
    <w:rsid w:val="00E14DF1"/>
    <w:rsid w:val="00E64E19"/>
    <w:rsid w:val="00EC12A6"/>
    <w:rsid w:val="00ED62EC"/>
    <w:rsid w:val="00E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70093"/>
  <w15:chartTrackingRefBased/>
  <w15:docId w15:val="{9D6681B0-65AE-4360-B4A2-D945979D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D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FootnoteReferenceArial6ptText1">
    <w:name w:val="Style Footnote Reference + Arial 6 pt Text 1"/>
    <w:basedOn w:val="FootnoteReference"/>
    <w:rsid w:val="009306B9"/>
    <w:rPr>
      <w:rFonts w:ascii="Arial" w:hAnsi="Arial"/>
      <w:color w:val="000000" w:themeColor="text1"/>
      <w:sz w:val="12"/>
      <w:vertAlign w:val="superscript"/>
    </w:rPr>
  </w:style>
  <w:style w:type="character" w:styleId="FootnoteReference">
    <w:name w:val="footnote reference"/>
    <w:basedOn w:val="DefaultParagraphFont"/>
    <w:uiPriority w:val="99"/>
    <w:semiHidden/>
    <w:unhideWhenUsed/>
    <w:rsid w:val="00ED62EC"/>
    <w:rPr>
      <w:vertAlign w:val="superscript"/>
    </w:rPr>
  </w:style>
  <w:style w:type="paragraph" w:styleId="BodyText">
    <w:name w:val="Body Text"/>
    <w:basedOn w:val="Normal"/>
    <w:link w:val="BodyTextChar"/>
    <w:uiPriority w:val="1"/>
    <w:qFormat/>
    <w:rsid w:val="00136BDD"/>
    <w:pPr>
      <w:tabs>
        <w:tab w:val="left" w:pos="-11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rPr>
  </w:style>
  <w:style w:type="character" w:customStyle="1" w:styleId="BodyTextChar">
    <w:name w:val="Body Text Char"/>
    <w:basedOn w:val="DefaultParagraphFont"/>
    <w:link w:val="BodyText"/>
    <w:uiPriority w:val="1"/>
    <w:rsid w:val="00136BDD"/>
    <w:rPr>
      <w:rFonts w:ascii="Arial" w:eastAsia="Times New Roman" w:hAnsi="Arial" w:cs="Times New Roman"/>
      <w:snapToGrid w:val="0"/>
      <w:sz w:val="24"/>
      <w:szCs w:val="20"/>
    </w:rPr>
  </w:style>
  <w:style w:type="paragraph" w:styleId="Header">
    <w:name w:val="header"/>
    <w:basedOn w:val="Normal"/>
    <w:link w:val="HeaderChar"/>
    <w:rsid w:val="00136BDD"/>
    <w:pPr>
      <w:tabs>
        <w:tab w:val="center" w:pos="4320"/>
        <w:tab w:val="right" w:pos="8640"/>
      </w:tabs>
    </w:pPr>
  </w:style>
  <w:style w:type="character" w:customStyle="1" w:styleId="HeaderChar">
    <w:name w:val="Header Char"/>
    <w:basedOn w:val="DefaultParagraphFont"/>
    <w:link w:val="Header"/>
    <w:rsid w:val="00136BDD"/>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36BDD"/>
    <w:pPr>
      <w:tabs>
        <w:tab w:val="center" w:pos="4320"/>
        <w:tab w:val="right" w:pos="8640"/>
      </w:tabs>
    </w:pPr>
  </w:style>
  <w:style w:type="character" w:customStyle="1" w:styleId="FooterChar">
    <w:name w:val="Footer Char"/>
    <w:basedOn w:val="DefaultParagraphFont"/>
    <w:link w:val="Footer"/>
    <w:uiPriority w:val="99"/>
    <w:rsid w:val="00136BD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36BDD"/>
    <w:pPr>
      <w:widowControl/>
      <w:ind w:left="720"/>
    </w:pPr>
    <w:rPr>
      <w:snapToGrid/>
      <w:sz w:val="20"/>
    </w:rPr>
  </w:style>
  <w:style w:type="character" w:styleId="PageNumber">
    <w:name w:val="page number"/>
    <w:basedOn w:val="DefaultParagraphFont"/>
    <w:unhideWhenUsed/>
    <w:rsid w:val="00136BDD"/>
  </w:style>
  <w:style w:type="table" w:styleId="TableGrid">
    <w:name w:val="Table Grid"/>
    <w:basedOn w:val="TableNormal"/>
    <w:uiPriority w:val="59"/>
    <w:rsid w:val="00136B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6AFA"/>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4270ED"/>
    <w:rPr>
      <w:sz w:val="16"/>
      <w:szCs w:val="16"/>
    </w:rPr>
  </w:style>
  <w:style w:type="paragraph" w:styleId="CommentText">
    <w:name w:val="annotation text"/>
    <w:basedOn w:val="Normal"/>
    <w:link w:val="CommentTextChar"/>
    <w:uiPriority w:val="99"/>
    <w:semiHidden/>
    <w:unhideWhenUsed/>
    <w:rsid w:val="004270ED"/>
    <w:rPr>
      <w:sz w:val="20"/>
    </w:rPr>
  </w:style>
  <w:style w:type="character" w:customStyle="1" w:styleId="CommentTextChar">
    <w:name w:val="Comment Text Char"/>
    <w:basedOn w:val="DefaultParagraphFont"/>
    <w:link w:val="CommentText"/>
    <w:uiPriority w:val="99"/>
    <w:semiHidden/>
    <w:rsid w:val="004270E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70ED"/>
    <w:rPr>
      <w:b/>
      <w:bCs/>
    </w:rPr>
  </w:style>
  <w:style w:type="character" w:customStyle="1" w:styleId="CommentSubjectChar">
    <w:name w:val="Comment Subject Char"/>
    <w:basedOn w:val="CommentTextChar"/>
    <w:link w:val="CommentSubject"/>
    <w:uiPriority w:val="99"/>
    <w:semiHidden/>
    <w:rsid w:val="004270ED"/>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BD33FCA5E0A4F9A9C985A3AF8E43F" ma:contentTypeVersion="14" ma:contentTypeDescription="Create a new document." ma:contentTypeScope="" ma:versionID="eaea9d118451b545a011b29b274b4cce">
  <xsd:schema xmlns:xsd="http://www.w3.org/2001/XMLSchema" xmlns:xs="http://www.w3.org/2001/XMLSchema" xmlns:p="http://schemas.microsoft.com/office/2006/metadata/properties" xmlns:ns3="acd74d93-01b7-471d-8295-40d1f5273e09" xmlns:ns4="c05f9213-4686-4fde-8d18-b602bca2e8f5" targetNamespace="http://schemas.microsoft.com/office/2006/metadata/properties" ma:root="true" ma:fieldsID="b38b280c77baaf93244ed5b98a40c9d0" ns3:_="" ns4:_="">
    <xsd:import namespace="acd74d93-01b7-471d-8295-40d1f5273e09"/>
    <xsd:import namespace="c05f9213-4686-4fde-8d18-b602bca2e8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74d93-01b7-471d-8295-40d1f5273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f9213-4686-4fde-8d18-b602bca2e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d74d93-01b7-471d-8295-40d1f5273e09" xsi:nil="true"/>
  </documentManagement>
</p:properties>
</file>

<file path=customXml/itemProps1.xml><?xml version="1.0" encoding="utf-8"?>
<ds:datastoreItem xmlns:ds="http://schemas.openxmlformats.org/officeDocument/2006/customXml" ds:itemID="{6B77A10F-84AD-4005-B593-9F6F5C619BF2}">
  <ds:schemaRefs>
    <ds:schemaRef ds:uri="http://schemas.microsoft.com/sharepoint/v3/contenttype/forms"/>
  </ds:schemaRefs>
</ds:datastoreItem>
</file>

<file path=customXml/itemProps2.xml><?xml version="1.0" encoding="utf-8"?>
<ds:datastoreItem xmlns:ds="http://schemas.openxmlformats.org/officeDocument/2006/customXml" ds:itemID="{D265AB91-A1CB-44DF-A9E4-5ACB83694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74d93-01b7-471d-8295-40d1f5273e09"/>
    <ds:schemaRef ds:uri="c05f9213-4686-4fde-8d18-b602bca2e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E1207-ACBC-4D62-B9F4-2F88495587D2}">
  <ds:schemaRefs>
    <ds:schemaRef ds:uri="http://schemas.microsoft.com/office/2006/metadata/properties"/>
    <ds:schemaRef ds:uri="http://schemas.microsoft.com/office/infopath/2007/PartnerControls"/>
    <ds:schemaRef ds:uri="acd74d93-01b7-471d-8295-40d1f5273e0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Tara (HEALTH)</dc:creator>
  <cp:keywords/>
  <dc:description/>
  <cp:lastModifiedBy>Sherrie Abate</cp:lastModifiedBy>
  <cp:revision>2</cp:revision>
  <dcterms:created xsi:type="dcterms:W3CDTF">2024-12-03T17:42:00Z</dcterms:created>
  <dcterms:modified xsi:type="dcterms:W3CDTF">2024-12-03T17:42:00Z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0x010100F24BD33FCA5E0A4F9A9C985A3AF8E43F</vt:lpwstr>
  </property>
  <property fmtid="{D5CDD505-2E9C-101B-9397-08002B2CF9AE}" pid="3" name="GrammarlyDocumentId">
    <vt:lpwstr>49ef2eedb9875753cc814df8052731cc1015e86e73d770ea79e2875d914bdbb3</vt:lpwstr>
  </property>
</Properties>
</file>